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color w:val="ff0000"/>
          <w:vertAlign w:val="baseline"/>
        </w:rPr>
      </w:pPr>
      <w:r w:rsidDel="00000000" w:rsidR="00000000" w:rsidRPr="00000000">
        <w:rPr>
          <w:rtl w:val="0"/>
        </w:rPr>
      </w:r>
    </w:p>
    <w:p w:rsidR="00000000" w:rsidDel="00000000" w:rsidP="00000000" w:rsidRDefault="00000000" w:rsidRPr="00000000" w14:paraId="00000002">
      <w:pPr>
        <w:spacing w:line="276" w:lineRule="auto"/>
        <w:jc w:val="center"/>
        <w:rPr>
          <w:b w:val="0"/>
          <w:bCs w:val="0"/>
          <w:sz w:val="40"/>
          <w:szCs w:val="40"/>
          <w:vertAlign w:val="baseline"/>
        </w:rPr>
      </w:pPr>
      <w:r w:rsidDel="00000000" w:rsidR="00000000" w:rsidRPr="00000000">
        <w:rPr>
          <w:sz w:val="22"/>
          <w:szCs w:val="22"/>
        </w:rPr>
        <w:drawing>
          <wp:inline distB="114300" distT="114300" distL="114300" distR="114300">
            <wp:extent cx="5400675" cy="5400675"/>
            <wp:effectExtent b="0" l="0" r="0" t="0"/>
            <wp:docPr id="2"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400675" cy="54006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ageBreakBefore w:val="0"/>
        <w:rPr>
          <w:b w:val="0"/>
          <w:bCs w:val="0"/>
          <w:sz w:val="40"/>
          <w:szCs w:val="40"/>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40"/>
        </w:tabs>
        <w:spacing w:after="200" w:before="200" w:line="276" w:lineRule="auto"/>
        <w:ind w:left="0" w:right="0" w:firstLine="0"/>
        <w:jc w:val="center"/>
        <w:rPr>
          <w:rFonts w:ascii="Arial" w:cs="Arial" w:eastAsia="Arial" w:hAnsi="Arial"/>
          <w:b w:val="1"/>
          <w:bCs w:val="1"/>
          <w:i w:val="0"/>
          <w:iCs w:val="0"/>
          <w:smallCaps w:val="0"/>
          <w:strike w:val="0"/>
          <w:color w:val="000000"/>
          <w:sz w:val="44"/>
          <w:szCs w:val="4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4"/>
          <w:szCs w:val="44"/>
          <w:u w:val="none"/>
          <w:shd w:fill="auto" w:val="clear"/>
          <w:vertAlign w:val="baseline"/>
          <w:rtl w:val="0"/>
        </w:rPr>
        <w:t xml:space="preserve">Collective Worship Policy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5435600</wp:posOffset>
                </wp:positionH>
                <wp:positionV relativeFrom="paragraph">
                  <wp:posOffset>6731000</wp:posOffset>
                </wp:positionV>
                <wp:extent cx="1184910" cy="3366770"/>
                <wp:effectExtent b="0" l="0" r="0" t="0"/>
                <wp:wrapNone/>
                <wp:docPr id="1" name=""/>
                <a:graphic>
                  <a:graphicData uri="http://schemas.microsoft.com/office/word/2010/wordprocessingShape">
                    <wps:wsp>
                      <wps:cNvSpPr/>
                      <wps:cNvPr id="2" name="Shape 2"/>
                      <wps:spPr>
                        <a:xfrm>
                          <a:off x="4763070" y="2106140"/>
                          <a:ext cx="1165860" cy="33477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5435600</wp:posOffset>
                </wp:positionH>
                <wp:positionV relativeFrom="paragraph">
                  <wp:posOffset>6731000</wp:posOffset>
                </wp:positionV>
                <wp:extent cx="1184910" cy="336677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184910" cy="3366770"/>
                        </a:xfrm>
                        <a:prstGeom prst="rect"/>
                        <a:ln/>
                      </pic:spPr>
                    </pic:pic>
                  </a:graphicData>
                </a:graphic>
              </wp:anchor>
            </w:drawing>
          </mc:Fallback>
        </mc:AlternateConten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40"/>
        </w:tabs>
        <w:spacing w:after="200" w:before="200" w:line="276" w:lineRule="auto"/>
        <w:ind w:left="0" w:right="0" w:firstLine="0"/>
        <w:jc w:val="center"/>
        <w:rPr>
          <w:b w:val="1"/>
          <w:bCs w:val="1"/>
          <w:sz w:val="44"/>
          <w:szCs w:val="44"/>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240"/>
        </w:tabs>
        <w:spacing w:after="200" w:before="200" w:line="276" w:lineRule="auto"/>
        <w:ind w:left="0" w:right="0" w:firstLine="0"/>
        <w:jc w:val="center"/>
        <w:rPr>
          <w:rFonts w:ascii="Calibri" w:cs="Calibri" w:eastAsia="Calibri" w:hAnsi="Calibri"/>
          <w:b w:val="1"/>
          <w:bCs w:val="1"/>
          <w:color w:val="548dd4"/>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07">
      <w:pPr>
        <w:rPr>
          <w:b w:val="1"/>
          <w:bCs w:val="1"/>
          <w:sz w:val="32.01350212097168"/>
          <w:szCs w:val="32.01350212097168"/>
        </w:rPr>
      </w:pPr>
      <w:r w:rsidDel="00000000" w:rsidR="00000000" w:rsidRPr="00000000">
        <w:rPr>
          <w:b w:val="1"/>
          <w:bCs w:val="1"/>
          <w:sz w:val="24"/>
          <w:szCs w:val="24"/>
          <w:rtl w:val="0"/>
        </w:rPr>
        <w:t xml:space="preserve">Contents</w:t>
      </w:r>
      <w:r w:rsidDel="00000000" w:rsidR="00000000" w:rsidRPr="00000000">
        <w:rPr>
          <w:rtl w:val="0"/>
        </w:rPr>
      </w:r>
    </w:p>
    <w:p w:rsidR="00000000" w:rsidDel="00000000" w:rsidP="00000000" w:rsidRDefault="00000000" w:rsidRPr="00000000" w14:paraId="00000008">
      <w:pPr>
        <w:widowControl w:val="0"/>
        <w:spacing w:before="48" w:line="276" w:lineRule="auto"/>
        <w:ind w:right="2273.385826771655"/>
        <w:rPr>
          <w:sz w:val="22"/>
          <w:szCs w:val="22"/>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75"/>
        <w:gridCol w:w="2685"/>
        <w:tblGridChange w:id="0">
          <w:tblGrid>
            <w:gridCol w:w="6675"/>
            <w:gridCol w:w="26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rPr>
                <w:b w:val="1"/>
                <w:bCs w:val="1"/>
                <w:sz w:val="22"/>
                <w:szCs w:val="22"/>
              </w:rPr>
            </w:pPr>
            <w:r w:rsidDel="00000000" w:rsidR="00000000" w:rsidRPr="00000000">
              <w:rPr>
                <w:b w:val="1"/>
                <w:bCs w:val="1"/>
                <w:sz w:val="22"/>
                <w:szCs w:val="22"/>
                <w:rtl w:val="0"/>
              </w:rPr>
              <w:t xml:space="preserve">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rPr>
                <w:b w:val="1"/>
                <w:bCs w:val="1"/>
                <w:sz w:val="22"/>
                <w:szCs w:val="22"/>
              </w:rPr>
            </w:pPr>
            <w:r w:rsidDel="00000000" w:rsidR="00000000" w:rsidRPr="00000000">
              <w:rPr>
                <w:b w:val="1"/>
                <w:bCs w:val="1"/>
                <w:sz w:val="22"/>
                <w:szCs w:val="22"/>
                <w:rtl w:val="0"/>
              </w:rPr>
              <w:t xml:space="preserve">Page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rPr>
                <w:sz w:val="22"/>
                <w:szCs w:val="22"/>
              </w:rPr>
            </w:pPr>
            <w:r w:rsidDel="00000000" w:rsidR="00000000" w:rsidRPr="00000000">
              <w:rPr>
                <w:sz w:val="22"/>
                <w:szCs w:val="22"/>
                <w:rtl w:val="0"/>
              </w:rPr>
              <w:t xml:space="preserve">Policy Review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rPr>
                <w:sz w:val="22"/>
                <w:szCs w:val="22"/>
              </w:rPr>
            </w:pPr>
            <w:r w:rsidDel="00000000" w:rsidR="00000000" w:rsidRPr="00000000">
              <w:rPr>
                <w:sz w:val="22"/>
                <w:szCs w:val="22"/>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rPr>
                <w:sz w:val="22"/>
                <w:szCs w:val="22"/>
              </w:rPr>
            </w:pPr>
            <w:r w:rsidDel="00000000" w:rsidR="00000000" w:rsidRPr="00000000">
              <w:rPr>
                <w:sz w:val="22"/>
                <w:szCs w:val="22"/>
                <w:rtl w:val="0"/>
              </w:rPr>
              <w:t xml:space="preserve">Policy</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rPr>
                <w:sz w:val="22"/>
                <w:szCs w:val="22"/>
              </w:rPr>
            </w:pPr>
            <w:r w:rsidDel="00000000" w:rsidR="00000000" w:rsidRPr="00000000">
              <w:rPr>
                <w:sz w:val="22"/>
                <w:szCs w:val="22"/>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rPr>
                <w:sz w:val="22"/>
                <w:szCs w:val="22"/>
              </w:rPr>
            </w:pPr>
            <w:r w:rsidDel="00000000" w:rsidR="00000000" w:rsidRPr="00000000">
              <w:rPr>
                <w:sz w:val="22"/>
                <w:szCs w:val="22"/>
                <w:rtl w:val="0"/>
              </w:rPr>
              <w:t xml:space="preserve">Assemblies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rPr>
                <w:sz w:val="22"/>
                <w:szCs w:val="22"/>
              </w:rPr>
            </w:pPr>
            <w:r w:rsidDel="00000000" w:rsidR="00000000" w:rsidRPr="00000000">
              <w:rPr>
                <w:sz w:val="22"/>
                <w:szCs w:val="22"/>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rPr>
                <w:sz w:val="22"/>
                <w:szCs w:val="22"/>
              </w:rPr>
            </w:pPr>
            <w:r w:rsidDel="00000000" w:rsidR="00000000" w:rsidRPr="00000000">
              <w:rPr>
                <w:sz w:val="22"/>
                <w:szCs w:val="22"/>
                <w:rtl w:val="0"/>
              </w:rPr>
              <w:t xml:space="preserve">Assembly rota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rPr>
                <w:sz w:val="22"/>
                <w:szCs w:val="22"/>
              </w:rPr>
            </w:pPr>
            <w:r w:rsidDel="00000000" w:rsidR="00000000" w:rsidRPr="00000000">
              <w:rPr>
                <w:sz w:val="22"/>
                <w:szCs w:val="22"/>
                <w:rtl w:val="0"/>
              </w:rPr>
              <w:t xml:space="preserve">2</w:t>
            </w:r>
          </w:p>
        </w:tc>
      </w:tr>
    </w:tbl>
    <w:p w:rsidR="00000000" w:rsidDel="00000000" w:rsidP="00000000" w:rsidRDefault="00000000" w:rsidRPr="00000000" w14:paraId="00000013">
      <w:pPr>
        <w:widowControl w:val="0"/>
        <w:spacing w:before="48" w:line="276" w:lineRule="auto"/>
        <w:ind w:right="2273.385826771655"/>
        <w:rPr>
          <w:rFonts w:ascii="Calibri" w:cs="Calibri" w:eastAsia="Calibri" w:hAnsi="Calibri"/>
          <w:b w:val="1"/>
          <w:bCs w:val="1"/>
          <w:color w:val="548dd4"/>
          <w:sz w:val="36"/>
          <w:szCs w:val="36"/>
        </w:rPr>
      </w:pPr>
      <w:r w:rsidDel="00000000" w:rsidR="00000000" w:rsidRPr="00000000">
        <w:rPr>
          <w:rtl w:val="0"/>
        </w:rPr>
      </w:r>
    </w:p>
    <w:p w:rsidR="00000000" w:rsidDel="00000000" w:rsidP="00000000" w:rsidRDefault="00000000" w:rsidRPr="00000000" w14:paraId="00000014">
      <w:pPr>
        <w:spacing w:line="276" w:lineRule="auto"/>
        <w:rPr/>
      </w:pPr>
      <w:r w:rsidDel="00000000" w:rsidR="00000000" w:rsidRPr="00000000">
        <w:rPr>
          <w:b w:val="1"/>
          <w:bCs w:val="1"/>
          <w:sz w:val="24"/>
          <w:szCs w:val="24"/>
          <w:rtl w:val="0"/>
        </w:rPr>
        <w:t xml:space="preserve">Policy Review </w:t>
      </w:r>
      <w:r w:rsidDel="00000000" w:rsidR="00000000" w:rsidRPr="00000000">
        <w:rPr>
          <w:rtl w:val="0"/>
        </w:rPr>
      </w:r>
    </w:p>
    <w:p w:rsidR="00000000" w:rsidDel="00000000" w:rsidP="00000000" w:rsidRDefault="00000000" w:rsidRPr="00000000" w14:paraId="00000015">
      <w:pPr>
        <w:spacing w:line="276" w:lineRule="auto"/>
        <w:rPr>
          <w:sz w:val="24"/>
          <w:szCs w:val="24"/>
        </w:rPr>
      </w:pPr>
      <w:r w:rsidDel="00000000" w:rsidR="00000000" w:rsidRPr="00000000">
        <w:rPr>
          <w:rtl w:val="0"/>
        </w:rPr>
      </w:r>
    </w:p>
    <w:tbl>
      <w:tblPr>
        <w:tblStyle w:val="Table2"/>
        <w:tblpPr w:leftFromText="180" w:rightFromText="180" w:topFromText="180" w:bottomFromText="180" w:vertAnchor="text" w:horzAnchor="text" w:tblpX="0" w:tblpY="0"/>
        <w:tblW w:w="93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1.670235546039"/>
        <w:gridCol w:w="3111.664882226981"/>
        <w:gridCol w:w="3111.664882226981"/>
        <w:tblGridChange w:id="0">
          <w:tblGrid>
            <w:gridCol w:w="3121.670235546039"/>
            <w:gridCol w:w="3111.664882226981"/>
            <w:gridCol w:w="3111.664882226981"/>
          </w:tblGrid>
        </w:tblGridChange>
      </w:tblGrid>
      <w:tr>
        <w:trPr>
          <w:cantSplit w:val="0"/>
          <w:tblHeader w:val="0"/>
        </w:trPr>
        <w:tc>
          <w:tcPr/>
          <w:p w:rsidR="00000000" w:rsidDel="00000000" w:rsidP="00000000" w:rsidRDefault="00000000" w:rsidRPr="00000000" w14:paraId="00000016">
            <w:pPr>
              <w:widowControl w:val="0"/>
              <w:rPr>
                <w:sz w:val="24"/>
                <w:szCs w:val="24"/>
              </w:rPr>
            </w:pPr>
            <w:r w:rsidDel="00000000" w:rsidR="00000000" w:rsidRPr="00000000">
              <w:rPr>
                <w:sz w:val="24"/>
                <w:szCs w:val="24"/>
                <w:rtl w:val="0"/>
              </w:rPr>
              <w:t xml:space="preserve">Last reviewed</w:t>
            </w:r>
          </w:p>
        </w:tc>
        <w:tc>
          <w:tcPr/>
          <w:p w:rsidR="00000000" w:rsidDel="00000000" w:rsidP="00000000" w:rsidRDefault="00000000" w:rsidRPr="00000000" w14:paraId="00000017">
            <w:pPr>
              <w:widowControl w:val="0"/>
              <w:rPr>
                <w:sz w:val="24"/>
                <w:szCs w:val="24"/>
              </w:rPr>
            </w:pPr>
            <w:r w:rsidDel="00000000" w:rsidR="00000000" w:rsidRPr="00000000">
              <w:rPr>
                <w:sz w:val="24"/>
                <w:szCs w:val="24"/>
                <w:rtl w:val="0"/>
              </w:rPr>
              <w:t xml:space="preserve">By whom</w:t>
            </w:r>
          </w:p>
        </w:tc>
        <w:tc>
          <w:tcPr/>
          <w:p w:rsidR="00000000" w:rsidDel="00000000" w:rsidP="00000000" w:rsidRDefault="00000000" w:rsidRPr="00000000" w14:paraId="00000018">
            <w:pPr>
              <w:widowControl w:val="0"/>
              <w:rPr>
                <w:sz w:val="24"/>
                <w:szCs w:val="24"/>
              </w:rPr>
            </w:pPr>
            <w:r w:rsidDel="00000000" w:rsidR="00000000" w:rsidRPr="00000000">
              <w:rPr>
                <w:sz w:val="24"/>
                <w:szCs w:val="24"/>
                <w:rtl w:val="0"/>
              </w:rPr>
              <w:t xml:space="preserve">Next review</w:t>
            </w:r>
          </w:p>
        </w:tc>
      </w:tr>
      <w:tr>
        <w:trPr>
          <w:cantSplit w:val="0"/>
          <w:tblHeader w:val="0"/>
        </w:trPr>
        <w:tc>
          <w:tcPr/>
          <w:p w:rsidR="00000000" w:rsidDel="00000000" w:rsidP="00000000" w:rsidRDefault="00000000" w:rsidRPr="00000000" w14:paraId="00000019">
            <w:pPr>
              <w:widowControl w:val="0"/>
              <w:rPr>
                <w:sz w:val="24"/>
                <w:szCs w:val="24"/>
              </w:rPr>
            </w:pPr>
            <w:r w:rsidDel="00000000" w:rsidR="00000000" w:rsidRPr="00000000">
              <w:rPr>
                <w:sz w:val="24"/>
                <w:szCs w:val="24"/>
                <w:rtl w:val="0"/>
              </w:rPr>
              <w:t xml:space="preserve">July 2026</w:t>
            </w:r>
          </w:p>
        </w:tc>
        <w:tc>
          <w:tcPr/>
          <w:p w:rsidR="00000000" w:rsidDel="00000000" w:rsidP="00000000" w:rsidRDefault="00000000" w:rsidRPr="00000000" w14:paraId="0000001A">
            <w:pPr>
              <w:widowControl w:val="0"/>
              <w:rPr>
                <w:sz w:val="24"/>
                <w:szCs w:val="24"/>
              </w:rPr>
            </w:pPr>
            <w:r w:rsidDel="00000000" w:rsidR="00000000" w:rsidRPr="00000000">
              <w:rPr>
                <w:sz w:val="24"/>
                <w:szCs w:val="24"/>
                <w:rtl w:val="0"/>
              </w:rPr>
              <w:t xml:space="preserve">M Phillipson</w:t>
            </w:r>
          </w:p>
        </w:tc>
        <w:tc>
          <w:tcPr/>
          <w:p w:rsidR="00000000" w:rsidDel="00000000" w:rsidP="00000000" w:rsidRDefault="00000000" w:rsidRPr="00000000" w14:paraId="0000001B">
            <w:pPr>
              <w:widowControl w:val="0"/>
              <w:rPr>
                <w:sz w:val="24"/>
                <w:szCs w:val="24"/>
              </w:rPr>
            </w:pPr>
            <w:r w:rsidDel="00000000" w:rsidR="00000000" w:rsidRPr="00000000">
              <w:rPr>
                <w:sz w:val="24"/>
                <w:szCs w:val="24"/>
                <w:rtl w:val="0"/>
              </w:rPr>
              <w:t xml:space="preserve">July 2027</w:t>
            </w:r>
          </w:p>
        </w:tc>
      </w:tr>
    </w:tbl>
    <w:p w:rsidR="00000000" w:rsidDel="00000000" w:rsidP="00000000" w:rsidRDefault="00000000" w:rsidRPr="00000000" w14:paraId="0000001C">
      <w:pPr>
        <w:rPr>
          <w:rFonts w:ascii="Calibri" w:cs="Calibri" w:eastAsia="Calibri" w:hAnsi="Calibri"/>
          <w:b w:val="1"/>
          <w:bCs w:val="1"/>
          <w:color w:val="548dd4"/>
          <w:sz w:val="36"/>
          <w:szCs w:val="36"/>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color="000000" w:space="0" w:sz="0" w:val="none"/>
          <w:left w:color="000000" w:space="0" w:sz="0" w:val="none"/>
          <w:bottom w:color="000000" w:space="0" w:sz="0" w:val="none"/>
          <w:right w:color="000000" w:space="0" w:sz="0" w:val="none"/>
          <w:between w:space="0" w:sz="0" w:val="nil"/>
        </w:pBdr>
        <w:shd w:fill="auto" w:val="clear"/>
        <w:spacing w:after="0" w:before="120" w:line="240" w:lineRule="auto"/>
        <w:ind w:left="0" w:right="0" w:firstLine="0"/>
        <w:jc w:val="left"/>
        <w:rPr>
          <w:rFonts w:ascii="Trebuchet MS" w:cs="Trebuchet MS" w:eastAsia="Trebuchet MS" w:hAnsi="Trebuchet MS"/>
          <w:b w:val="0"/>
          <w:bCs w:val="0"/>
          <w:i w:val="0"/>
          <w:iCs w:val="0"/>
          <w:smallCaps w:val="1"/>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rPr>
          <w:b w:val="1"/>
          <w:bCs w:val="1"/>
          <w:i w:val="0"/>
          <w:iCs w:val="0"/>
          <w:smallCaps w:val="1"/>
          <w:strike w:val="0"/>
          <w:sz w:val="32"/>
          <w:szCs w:val="32"/>
          <w:u w:val="none"/>
          <w:shd w:fill="auto" w:val="clear"/>
          <w:vertAlign w:val="baseline"/>
        </w:rPr>
      </w:pPr>
      <w:r w:rsidDel="00000000" w:rsidR="00000000" w:rsidRPr="00000000">
        <w:rPr>
          <w:b w:val="1"/>
          <w:bCs w:val="1"/>
          <w:sz w:val="24"/>
          <w:szCs w:val="24"/>
          <w:vertAlign w:val="baseline"/>
          <w:rtl w:val="0"/>
        </w:rPr>
        <w:t xml:space="preserve">C</w:t>
      </w:r>
      <w:r w:rsidDel="00000000" w:rsidR="00000000" w:rsidRPr="00000000">
        <w:rPr>
          <w:b w:val="1"/>
          <w:bCs w:val="1"/>
          <w:sz w:val="24"/>
          <w:szCs w:val="24"/>
          <w:rtl w:val="0"/>
        </w:rPr>
        <w:t xml:space="preserve">ollective</w:t>
      </w:r>
      <w:r w:rsidDel="00000000" w:rsidR="00000000" w:rsidRPr="00000000">
        <w:rPr>
          <w:b w:val="1"/>
          <w:bCs w:val="1"/>
          <w:sz w:val="24"/>
          <w:szCs w:val="24"/>
          <w:vertAlign w:val="baseline"/>
          <w:rtl w:val="0"/>
        </w:rPr>
        <w:t xml:space="preserve"> W</w:t>
      </w:r>
      <w:r w:rsidDel="00000000" w:rsidR="00000000" w:rsidRPr="00000000">
        <w:rPr>
          <w:b w:val="1"/>
          <w:bCs w:val="1"/>
          <w:sz w:val="24"/>
          <w:szCs w:val="24"/>
          <w:rtl w:val="0"/>
        </w:rPr>
        <w:t xml:space="preserve">orship</w:t>
      </w:r>
      <w:r w:rsidDel="00000000" w:rsidR="00000000" w:rsidRPr="00000000">
        <w:rPr>
          <w:b w:val="1"/>
          <w:bCs w:val="1"/>
          <w:sz w:val="24"/>
          <w:szCs w:val="24"/>
          <w:vertAlign w:val="baseline"/>
          <w:rtl w:val="0"/>
        </w:rPr>
        <w:t xml:space="preserve"> P</w:t>
      </w:r>
      <w:r w:rsidDel="00000000" w:rsidR="00000000" w:rsidRPr="00000000">
        <w:rPr>
          <w:b w:val="1"/>
          <w:bCs w:val="1"/>
          <w:sz w:val="24"/>
          <w:szCs w:val="24"/>
          <w:rtl w:val="0"/>
        </w:rPr>
        <w:t xml:space="preserve">olicy</w:t>
      </w:r>
      <w:r w:rsidDel="00000000" w:rsidR="00000000" w:rsidRPr="00000000">
        <w:rPr>
          <w:rtl w:val="0"/>
        </w:rPr>
      </w:r>
    </w:p>
    <w:p w:rsidR="00000000" w:rsidDel="00000000" w:rsidP="00000000" w:rsidRDefault="00000000" w:rsidRPr="00000000" w14:paraId="0000001F">
      <w:pPr>
        <w:pageBreakBefore w:val="0"/>
        <w:rP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Governors and school recognise the requirements set out in the 1998 Reform Act, regarding Collective Worship in schools.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Assemblies take place every day as far as is practicable. The time at which this takes place, and the form of the Active Collective Worship (ACW), (whole year group, year houses or class groups) will vary from day to day.</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majority of the Assemblies </w:t>
      </w:r>
      <w:r w:rsidDel="00000000" w:rsidR="00000000" w:rsidRPr="00000000">
        <w:rPr>
          <w:sz w:val="22"/>
          <w:szCs w:val="22"/>
          <w:rtl w:val="0"/>
        </w:rPr>
        <w:t xml:space="preserve">will be mainly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of a broadly Christian nature. Many of the moral issues conveyed to the pupils will reflect the values and behaviours, which the groups of Christian churches would wish to instil in a Christian community.</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Every child will take part in Assembly unless withdrawn by his/her parents/carers. Whilst making every effort to comply with the law, the governors and school recognise that, and will be sensitive to, the fact that many of our pupils (and staff) will not come from a religious background.</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w:t>
      </w:r>
      <w:r w:rsidDel="00000000" w:rsidR="00000000" w:rsidRPr="00000000">
        <w:rPr>
          <w:sz w:val="22"/>
          <w:szCs w:val="22"/>
          <w:rtl w:val="0"/>
        </w:rPr>
        <w:t xml:space="preserve">Assistant 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eadteacher (Personal Development) will keep a record of all Assemblies</w:t>
      </w:r>
      <w:r w:rsidDel="00000000" w:rsidR="00000000" w:rsidRPr="00000000">
        <w:rPr>
          <w:sz w:val="22"/>
          <w:szCs w:val="22"/>
          <w:rtl w:val="0"/>
        </w:rPr>
        <w:t xml:space="preserve"> and their related themes.</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school will endeavour to ensure that it complies with the law but recognises that physical, practical (e.g. examinations) and resource constraints may make this impossible on occasions.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sz w:val="22"/>
          <w:szCs w:val="22"/>
        </w:rPr>
      </w:pPr>
      <w:r w:rsidDel="00000000" w:rsidR="00000000" w:rsidRPr="00000000">
        <w:rPr>
          <w:rtl w:val="0"/>
        </w:rPr>
      </w:r>
    </w:p>
    <w:p w:rsidR="00000000" w:rsidDel="00000000" w:rsidP="00000000" w:rsidRDefault="00000000" w:rsidRPr="00000000" w14:paraId="00000027">
      <w:pPr>
        <w:pStyle w:val="Heading2"/>
        <w:pageBreakBefore w:val="0"/>
        <w:rPr>
          <w:sz w:val="24"/>
          <w:szCs w:val="24"/>
          <w:vertAlign w:val="baseline"/>
        </w:rPr>
      </w:pPr>
      <w:r w:rsidDel="00000000" w:rsidR="00000000" w:rsidRPr="00000000">
        <w:rPr>
          <w:sz w:val="24"/>
          <w:szCs w:val="24"/>
          <w:vertAlign w:val="baseline"/>
          <w:rtl w:val="0"/>
        </w:rPr>
        <w:t xml:space="preserve">A</w:t>
      </w:r>
      <w:r w:rsidDel="00000000" w:rsidR="00000000" w:rsidRPr="00000000">
        <w:rPr>
          <w:sz w:val="24"/>
          <w:szCs w:val="24"/>
          <w:rtl w:val="0"/>
        </w:rPr>
        <w:t xml:space="preserve">ssemblies</w:t>
      </w:r>
      <w:r w:rsidDel="00000000" w:rsidR="00000000" w:rsidRPr="00000000">
        <w:rPr>
          <w:rtl w:val="0"/>
        </w:rPr>
      </w:r>
    </w:p>
    <w:p w:rsidR="00000000" w:rsidDel="00000000" w:rsidP="00000000" w:rsidRDefault="00000000" w:rsidRPr="00000000" w14:paraId="00000028">
      <w:pPr>
        <w:pageBreakBefore w:val="0"/>
        <w:rP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Year tutors will usually be present in</w:t>
      </w:r>
      <w:r w:rsidDel="00000000" w:rsidR="00000000" w:rsidRPr="00000000">
        <w:rPr>
          <w:sz w:val="22"/>
          <w:szCs w:val="22"/>
          <w:rtl w:val="0"/>
        </w:rPr>
        <w:t xml:space="preserve"> </w:t>
      </w:r>
      <w:r w:rsidDel="00000000" w:rsidR="00000000" w:rsidRPr="00000000">
        <w:rPr>
          <w:i w:val="0"/>
          <w:iCs w:val="0"/>
          <w:smallCaps w:val="0"/>
          <w:strike w:val="0"/>
          <w:color w:val="000000"/>
          <w:sz w:val="22"/>
          <w:szCs w:val="22"/>
          <w:u w:val="none"/>
          <w:shd w:fill="auto" w:val="clear"/>
          <w:vertAlign w:val="baseline"/>
          <w:rtl w:val="0"/>
        </w:rPr>
        <w:t xml:space="preserve">Main Hall Assembl</w:t>
      </w:r>
      <w:r w:rsidDel="00000000" w:rsidR="00000000" w:rsidRPr="00000000">
        <w:rPr>
          <w:sz w:val="22"/>
          <w:szCs w:val="22"/>
          <w:rtl w:val="0"/>
        </w:rPr>
        <w:t xml:space="preserve">ies. </w:t>
      </w:r>
      <w:r w:rsidDel="00000000" w:rsidR="00000000" w:rsidRPr="00000000">
        <w:rPr>
          <w:i w:val="0"/>
          <w:iCs w:val="0"/>
          <w:smallCaps w:val="0"/>
          <w:strike w:val="0"/>
          <w:color w:val="000000"/>
          <w:sz w:val="22"/>
          <w:szCs w:val="22"/>
          <w:u w:val="none"/>
          <w:shd w:fill="auto" w:val="clear"/>
          <w:vertAlign w:val="baseline"/>
          <w:rtl w:val="0"/>
        </w:rPr>
        <w:t xml:space="preserve">Registration should take place in the main hall before assembly begins.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Main Hall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Year group assemblies are general</w:t>
      </w:r>
      <w:r w:rsidDel="00000000" w:rsidR="00000000" w:rsidRPr="00000000">
        <w:rPr>
          <w:sz w:val="22"/>
          <w:szCs w:val="22"/>
          <w:rtl w:val="0"/>
        </w:rPr>
        <w:t xml:space="preserve">ly held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as follows:</w:t>
      </w:r>
    </w:p>
    <w:p w:rsidR="00000000" w:rsidDel="00000000" w:rsidP="00000000" w:rsidRDefault="00000000" w:rsidRPr="00000000" w14:paraId="0000002B">
      <w:pPr>
        <w:pageBreakBefore w:val="0"/>
        <w:rPr>
          <w:b w:val="1"/>
          <w:bCs w:val="1"/>
          <w:sz w:val="22"/>
          <w:szCs w:val="22"/>
        </w:rPr>
      </w:pPr>
      <w:r w:rsidDel="00000000" w:rsidR="00000000" w:rsidRPr="00000000">
        <w:rPr>
          <w:rtl w:val="0"/>
        </w:rPr>
      </w:r>
    </w:p>
    <w:tbl>
      <w:tblPr>
        <w:tblStyle w:val="Table3"/>
        <w:tblW w:w="86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320"/>
        <w:tblGridChange w:id="0">
          <w:tblGrid>
            <w:gridCol w:w="4320"/>
            <w:gridCol w:w="43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rPr>
                <w:b w:val="1"/>
                <w:bCs w:val="1"/>
                <w:sz w:val="22"/>
                <w:szCs w:val="22"/>
              </w:rPr>
            </w:pPr>
            <w:r w:rsidDel="00000000" w:rsidR="00000000" w:rsidRPr="00000000">
              <w:rPr>
                <w:b w:val="1"/>
                <w:bCs w:val="1"/>
                <w:sz w:val="22"/>
                <w:szCs w:val="22"/>
                <w:rtl w:val="0"/>
              </w:rPr>
              <w:t xml:space="preserve">Monday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rPr>
                <w:b w:val="1"/>
                <w:bCs w:val="1"/>
                <w:sz w:val="22"/>
                <w:szCs w:val="22"/>
              </w:rPr>
            </w:pPr>
            <w:r w:rsidDel="00000000" w:rsidR="00000000" w:rsidRPr="00000000">
              <w:rPr>
                <w:sz w:val="22"/>
                <w:szCs w:val="22"/>
                <w:rtl w:val="0"/>
              </w:rPr>
              <w:t xml:space="preserve">Year 8 Main Hall assembly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rPr>
                <w:b w:val="1"/>
                <w:bCs w:val="1"/>
                <w:sz w:val="22"/>
                <w:szCs w:val="22"/>
              </w:rPr>
            </w:pPr>
            <w:r w:rsidDel="00000000" w:rsidR="00000000" w:rsidRPr="00000000">
              <w:rPr>
                <w:b w:val="1"/>
                <w:bCs w:val="1"/>
                <w:sz w:val="22"/>
                <w:szCs w:val="22"/>
                <w:rtl w:val="0"/>
              </w:rPr>
              <w:t xml:space="preserve">Tuesday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rPr>
                <w:b w:val="1"/>
                <w:bCs w:val="1"/>
                <w:sz w:val="22"/>
                <w:szCs w:val="22"/>
              </w:rPr>
            </w:pPr>
            <w:r w:rsidDel="00000000" w:rsidR="00000000" w:rsidRPr="00000000">
              <w:rPr>
                <w:sz w:val="22"/>
                <w:szCs w:val="22"/>
                <w:rtl w:val="0"/>
              </w:rPr>
              <w:t xml:space="preserve">Year 7 Main Hall assembly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rPr>
                <w:b w:val="1"/>
                <w:bCs w:val="1"/>
                <w:sz w:val="22"/>
                <w:szCs w:val="22"/>
              </w:rPr>
            </w:pPr>
            <w:r w:rsidDel="00000000" w:rsidR="00000000" w:rsidRPr="00000000">
              <w:rPr>
                <w:b w:val="1"/>
                <w:bCs w:val="1"/>
                <w:sz w:val="22"/>
                <w:szCs w:val="22"/>
                <w:rtl w:val="0"/>
              </w:rPr>
              <w:t xml:space="preserve">Wednesday</w:t>
            </w:r>
            <w:r w:rsidDel="00000000" w:rsidR="00000000" w:rsidRPr="00000000">
              <w:rPr>
                <w:sz w:val="22"/>
                <w:szCs w:val="22"/>
                <w:rtl w:val="0"/>
              </w:rPr>
              <w:tab/>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rPr>
                <w:b w:val="1"/>
                <w:bCs w:val="1"/>
                <w:sz w:val="22"/>
                <w:szCs w:val="22"/>
              </w:rPr>
            </w:pPr>
            <w:r w:rsidDel="00000000" w:rsidR="00000000" w:rsidRPr="00000000">
              <w:rPr>
                <w:sz w:val="22"/>
                <w:szCs w:val="22"/>
                <w:rtl w:val="0"/>
              </w:rPr>
              <w:t xml:space="preserve">Year 9 Main Hall assembly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rPr>
                <w:b w:val="1"/>
                <w:bCs w:val="1"/>
                <w:sz w:val="22"/>
                <w:szCs w:val="22"/>
              </w:rPr>
            </w:pPr>
            <w:r w:rsidDel="00000000" w:rsidR="00000000" w:rsidRPr="00000000">
              <w:rPr>
                <w:b w:val="1"/>
                <w:bCs w:val="1"/>
                <w:sz w:val="22"/>
                <w:szCs w:val="22"/>
                <w:rtl w:val="0"/>
              </w:rPr>
              <w:t xml:space="preserve">Thursday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rPr>
                <w:b w:val="1"/>
                <w:bCs w:val="1"/>
                <w:sz w:val="22"/>
                <w:szCs w:val="22"/>
              </w:rPr>
            </w:pPr>
            <w:r w:rsidDel="00000000" w:rsidR="00000000" w:rsidRPr="00000000">
              <w:rPr>
                <w:sz w:val="22"/>
                <w:szCs w:val="22"/>
                <w:rtl w:val="0"/>
              </w:rPr>
              <w:t xml:space="preserve">Year 10 Main Hall assembly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rPr>
                <w:b w:val="1"/>
                <w:bCs w:val="1"/>
                <w:sz w:val="22"/>
                <w:szCs w:val="22"/>
              </w:rPr>
            </w:pPr>
            <w:r w:rsidDel="00000000" w:rsidR="00000000" w:rsidRPr="00000000">
              <w:rPr>
                <w:b w:val="1"/>
                <w:bCs w:val="1"/>
                <w:sz w:val="22"/>
                <w:szCs w:val="22"/>
                <w:rtl w:val="0"/>
              </w:rPr>
              <w:t xml:space="preserve">Friday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rPr>
                <w:b w:val="1"/>
                <w:bCs w:val="1"/>
                <w:sz w:val="22"/>
                <w:szCs w:val="22"/>
              </w:rPr>
            </w:pPr>
            <w:r w:rsidDel="00000000" w:rsidR="00000000" w:rsidRPr="00000000">
              <w:rPr>
                <w:sz w:val="22"/>
                <w:szCs w:val="22"/>
                <w:rtl w:val="0"/>
              </w:rPr>
              <w:t xml:space="preserve">Year 11 Main Hall assembly</w:t>
            </w:r>
            <w:r w:rsidDel="00000000" w:rsidR="00000000" w:rsidRPr="00000000">
              <w:rPr>
                <w:rtl w:val="0"/>
              </w:rPr>
            </w:r>
          </w:p>
        </w:tc>
      </w:tr>
    </w:tbl>
    <w:p w:rsidR="00000000" w:rsidDel="00000000" w:rsidP="00000000" w:rsidRDefault="00000000" w:rsidRPr="00000000" w14:paraId="00000036">
      <w:pPr>
        <w:pageBreakBefore w:val="0"/>
        <w:rPr>
          <w:b w:val="1"/>
          <w:bCs w:val="1"/>
          <w:sz w:val="22"/>
          <w:szCs w:val="22"/>
        </w:rPr>
      </w:pPr>
      <w:r w:rsidDel="00000000" w:rsidR="00000000" w:rsidRPr="00000000">
        <w:rPr>
          <w:rtl w:val="0"/>
        </w:rPr>
      </w:r>
    </w:p>
    <w:p w:rsidR="00000000" w:rsidDel="00000000" w:rsidP="00000000" w:rsidRDefault="00000000" w:rsidRPr="00000000" w14:paraId="00000037">
      <w:pPr>
        <w:pageBreakBefore w:val="0"/>
        <w:rPr>
          <w:sz w:val="22"/>
          <w:szCs w:val="22"/>
          <w:vertAlign w:val="baseline"/>
        </w:rPr>
      </w:pPr>
      <w:r w:rsidDel="00000000" w:rsidR="00000000" w:rsidRPr="00000000">
        <w:rPr>
          <w:sz w:val="22"/>
          <w:szCs w:val="22"/>
          <w:vertAlign w:val="baseline"/>
          <w:rtl w:val="0"/>
        </w:rPr>
        <w:tab/>
        <w:tab/>
      </w:r>
    </w:p>
    <w:p w:rsidR="00000000" w:rsidDel="00000000" w:rsidP="00000000" w:rsidRDefault="00000000" w:rsidRPr="00000000" w14:paraId="00000038">
      <w:pPr>
        <w:pageBreakBefore w:val="0"/>
        <w:rPr>
          <w:vertAlign w:val="baseline"/>
        </w:rPr>
      </w:pPr>
      <w:r w:rsidDel="00000000" w:rsidR="00000000" w:rsidRPr="00000000">
        <w:rPr>
          <w:rtl w:val="0"/>
        </w:rPr>
      </w:r>
    </w:p>
    <w:p w:rsidR="00000000" w:rsidDel="00000000" w:rsidP="00000000" w:rsidRDefault="00000000" w:rsidRPr="00000000" w14:paraId="00000039">
      <w:pPr>
        <w:pageBreakBefore w:val="0"/>
        <w:rPr>
          <w:vertAlign w:val="baseline"/>
        </w:rPr>
      </w:pPr>
      <w:r w:rsidDel="00000000" w:rsidR="00000000" w:rsidRPr="00000000">
        <w:rPr>
          <w:rtl w:val="0"/>
        </w:rPr>
      </w:r>
    </w:p>
    <w:p w:rsidR="00000000" w:rsidDel="00000000" w:rsidP="00000000" w:rsidRDefault="00000000" w:rsidRPr="00000000" w14:paraId="0000003A">
      <w:pPr>
        <w:rPr>
          <w:sz w:val="24"/>
          <w:szCs w:val="24"/>
        </w:rPr>
      </w:pPr>
      <w:r w:rsidDel="00000000" w:rsidR="00000000" w:rsidRPr="00000000">
        <w:rPr>
          <w:rtl w:val="0"/>
        </w:rPr>
      </w:r>
    </w:p>
    <w:p w:rsidR="00000000" w:rsidDel="00000000" w:rsidP="00000000" w:rsidRDefault="00000000" w:rsidRPr="00000000" w14:paraId="0000003B">
      <w:pPr>
        <w:pageBreakBefore w:val="0"/>
        <w:rPr>
          <w:vertAlign w:val="baseline"/>
        </w:rPr>
      </w:pPr>
      <w:r w:rsidDel="00000000" w:rsidR="00000000" w:rsidRPr="00000000">
        <w:rPr>
          <w:rtl w:val="0"/>
        </w:rPr>
      </w:r>
    </w:p>
    <w:p w:rsidR="00000000" w:rsidDel="00000000" w:rsidP="00000000" w:rsidRDefault="00000000" w:rsidRPr="00000000" w14:paraId="0000003C">
      <w:pPr>
        <w:pageBreakBefore w:val="0"/>
        <w:rPr>
          <w:vertAlign w:val="baseline"/>
        </w:rPr>
      </w:pPr>
      <w:r w:rsidDel="00000000" w:rsidR="00000000" w:rsidRPr="00000000">
        <w:rPr>
          <w:rtl w:val="0"/>
        </w:rPr>
      </w:r>
    </w:p>
    <w:sectPr>
      <w:footerReference r:id="rId8" w:type="default"/>
      <w:footerReference r:id="rId9" w:type="first"/>
      <w:pgSz w:h="15840" w:w="12240" w:orient="portrait"/>
      <w:pgMar w:bottom="1440" w:top="1440" w:left="1800" w:right="180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tabs>
        <w:tab w:val="left" w:leader="none" w:pos="3240"/>
      </w:tabs>
      <w:spacing w:after="200" w:before="200" w:line="276" w:lineRule="auto"/>
      <w:jc w:val="right"/>
      <w:rPr>
        <w:i w:val="0"/>
        <w:iCs w:val="0"/>
        <w:smallCaps w:val="0"/>
        <w:strike w:val="0"/>
        <w:sz w:val="22"/>
        <w:szCs w:val="22"/>
        <w:u w:val="none"/>
        <w:shd w:fill="auto" w:val="clear"/>
        <w:vertAlign w:val="baseline"/>
      </w:rPr>
    </w:pPr>
    <w:r w:rsidDel="00000000" w:rsidR="00000000" w:rsidRPr="00000000">
      <w:rPr>
        <w:sz w:val="22"/>
        <w:szCs w:val="22"/>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jc w:val="center"/>
    </w:pPr>
    <w:rPr>
      <w:rFonts w:ascii="Arial" w:cs="Arial" w:eastAsia="Arial" w:hAnsi="Arial"/>
      <w:b w:val="1"/>
      <w:bCs w:val="1"/>
      <w:color w:val="ffffff"/>
      <w:sz w:val="36"/>
      <w:szCs w:val="36"/>
      <w:vertAlign w:val="baseline"/>
    </w:rPr>
  </w:style>
  <w:style w:type="paragraph" w:styleId="Heading2">
    <w:name w:val="heading 2"/>
    <w:basedOn w:val="Normal"/>
    <w:next w:val="Normal"/>
    <w:pPr>
      <w:keepNext w:val="1"/>
      <w:pageBreakBefore w:val="0"/>
    </w:pPr>
    <w:rPr>
      <w:rFonts w:ascii="Arial" w:cs="Arial" w:eastAsia="Arial" w:hAnsi="Arial"/>
      <w:b w:val="1"/>
      <w:bCs w:val="1"/>
      <w:u w:val="single"/>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png"/><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