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434" w:rsidRDefault="00FF793F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Analysis of Survey Results</w:t>
      </w:r>
    </w:p>
    <w:p w:rsidR="00FF793F" w:rsidRPr="00FF793F" w:rsidRDefault="00FF793F">
      <w:pPr>
        <w:rPr>
          <w:b/>
          <w:sz w:val="24"/>
          <w:szCs w:val="24"/>
        </w:rPr>
      </w:pPr>
      <w:r w:rsidRPr="00FF793F">
        <w:rPr>
          <w:b/>
          <w:sz w:val="24"/>
          <w:szCs w:val="24"/>
        </w:rPr>
        <w:t>Context</w:t>
      </w:r>
    </w:p>
    <w:p w:rsidR="00D26A88" w:rsidRPr="00FF793F" w:rsidRDefault="00FF793F">
      <w:pPr>
        <w:rPr>
          <w:sz w:val="24"/>
          <w:szCs w:val="24"/>
        </w:rPr>
      </w:pPr>
      <w:r>
        <w:rPr>
          <w:sz w:val="24"/>
          <w:szCs w:val="24"/>
        </w:rPr>
        <w:t xml:space="preserve">The purpose of the survey was to obtain the views of a range of stakeholders on the proposal to increase the length of the school day. The survey was open between </w:t>
      </w:r>
      <w:r w:rsidR="00D26A88">
        <w:rPr>
          <w:sz w:val="24"/>
          <w:szCs w:val="24"/>
        </w:rPr>
        <w:t>4</w:t>
      </w:r>
      <w:r w:rsidR="00D26A88" w:rsidRPr="00D26A88">
        <w:rPr>
          <w:sz w:val="24"/>
          <w:szCs w:val="24"/>
          <w:vertAlign w:val="superscript"/>
        </w:rPr>
        <w:t>th</w:t>
      </w:r>
      <w:r w:rsidR="00D26A88">
        <w:rPr>
          <w:sz w:val="24"/>
          <w:szCs w:val="24"/>
        </w:rPr>
        <w:t xml:space="preserve"> April 2017 and 8</w:t>
      </w:r>
      <w:r w:rsidR="00D26A88" w:rsidRPr="00D26A88">
        <w:rPr>
          <w:sz w:val="24"/>
          <w:szCs w:val="24"/>
          <w:vertAlign w:val="superscript"/>
        </w:rPr>
        <w:t>th</w:t>
      </w:r>
      <w:r w:rsidR="00D26A88">
        <w:rPr>
          <w:sz w:val="24"/>
          <w:szCs w:val="24"/>
        </w:rPr>
        <w:t xml:space="preserve"> May 2017. In total 313 </w:t>
      </w:r>
      <w:r w:rsidR="00AF77DC">
        <w:rPr>
          <w:sz w:val="24"/>
          <w:szCs w:val="24"/>
        </w:rPr>
        <w:t>responses were provided with 255</w:t>
      </w:r>
      <w:r w:rsidR="00D26A88">
        <w:rPr>
          <w:sz w:val="24"/>
          <w:szCs w:val="24"/>
        </w:rPr>
        <w:t xml:space="preserve"> of these being from parent</w:t>
      </w:r>
      <w:r w:rsidR="00AF77DC">
        <w:rPr>
          <w:sz w:val="24"/>
          <w:szCs w:val="24"/>
        </w:rPr>
        <w:t>s/carers, staff or governors. 58</w:t>
      </w:r>
      <w:r w:rsidR="00D26A88">
        <w:rPr>
          <w:sz w:val="24"/>
          <w:szCs w:val="24"/>
        </w:rPr>
        <w:t xml:space="preserve"> responses were from other groups. It is clear from reviewing written feedback that many of the other responses were from pupils. These responses have been included in the analysis.</w:t>
      </w:r>
    </w:p>
    <w:p w:rsidR="00FF5E55" w:rsidRPr="0076175C" w:rsidRDefault="00EA56D6" w:rsidP="00FF5E55">
      <w:pPr>
        <w:ind w:left="360"/>
      </w:pPr>
      <w:r>
        <w:rPr>
          <w:b/>
          <w:noProof/>
          <w:lang w:eastAsia="en-GB"/>
        </w:rPr>
        <w:drawing>
          <wp:anchor distT="0" distB="0" distL="114300" distR="114300" simplePos="0" relativeHeight="251660288" behindDoc="0" locked="0" layoutInCell="1" allowOverlap="1" wp14:anchorId="454DEB8C" wp14:editId="59522A2E">
            <wp:simplePos x="0" y="0"/>
            <wp:positionH relativeFrom="column">
              <wp:posOffset>-809625</wp:posOffset>
            </wp:positionH>
            <wp:positionV relativeFrom="paragraph">
              <wp:posOffset>198755</wp:posOffset>
            </wp:positionV>
            <wp:extent cx="7286625" cy="2800350"/>
            <wp:effectExtent l="0" t="0" r="9525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86625" cy="2800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26A88" w:rsidRDefault="00D26A88" w:rsidP="0076175C">
      <w:pPr>
        <w:rPr>
          <w:b/>
        </w:rPr>
      </w:pPr>
    </w:p>
    <w:p w:rsidR="001353A8" w:rsidRPr="001353A8" w:rsidRDefault="00D26A88" w:rsidP="0076175C">
      <w:r w:rsidRPr="001353A8">
        <w:t xml:space="preserve">Over half the number of responses were from parent or carers. This totalled </w:t>
      </w:r>
      <w:r w:rsidR="001353A8" w:rsidRPr="001353A8">
        <w:t xml:space="preserve">173 responses </w:t>
      </w:r>
      <w:r w:rsidR="004B01AE">
        <w:t xml:space="preserve">out of a total of 1572 (pupils). At most, </w:t>
      </w:r>
      <w:r w:rsidR="001353A8" w:rsidRPr="001353A8">
        <w:t>11% of p</w:t>
      </w:r>
      <w:r w:rsidR="00AF295B">
        <w:t xml:space="preserve">arents </w:t>
      </w:r>
      <w:r w:rsidR="004B01AE">
        <w:t xml:space="preserve">or carers </w:t>
      </w:r>
      <w:r w:rsidR="00AF295B">
        <w:t>responded to the survey.</w:t>
      </w:r>
    </w:p>
    <w:p w:rsidR="00AF295B" w:rsidRDefault="001353A8" w:rsidP="0076175C">
      <w:r w:rsidRPr="001353A8">
        <w:t>The number of staff (including governors and cas</w:t>
      </w:r>
      <w:r>
        <w:t>ual staff) who responded is 83 o</w:t>
      </w:r>
      <w:r w:rsidR="00AF295B">
        <w:t xml:space="preserve">ut of a total of 226. 59 of these were teaching staff. Overall </w:t>
      </w:r>
      <w:r>
        <w:t xml:space="preserve">36.7% of </w:t>
      </w:r>
      <w:r w:rsidR="00AF295B">
        <w:t xml:space="preserve">staff </w:t>
      </w:r>
      <w:r>
        <w:t>responded.</w:t>
      </w:r>
      <w:r w:rsidR="00AF295B">
        <w:t xml:space="preserve"> </w:t>
      </w:r>
    </w:p>
    <w:p w:rsidR="00AF295B" w:rsidRDefault="00AF295B" w:rsidP="0076175C">
      <w:pPr>
        <w:rPr>
          <w:b/>
        </w:rPr>
      </w:pPr>
      <w:r w:rsidRPr="00AF295B">
        <w:rPr>
          <w:b/>
        </w:rPr>
        <w:t>Support for proposal</w:t>
      </w:r>
    </w:p>
    <w:p w:rsidR="00AF295B" w:rsidRPr="00AF295B" w:rsidRDefault="00AF295B" w:rsidP="0076175C">
      <w:r w:rsidRPr="00AF295B">
        <w:t>The results of the 313 respondents are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AF295B" w:rsidTr="00AF295B">
        <w:tc>
          <w:tcPr>
            <w:tcW w:w="4508" w:type="dxa"/>
          </w:tcPr>
          <w:p w:rsidR="00AF295B" w:rsidRDefault="00AF295B" w:rsidP="0076175C">
            <w:pPr>
              <w:rPr>
                <w:b/>
              </w:rPr>
            </w:pPr>
            <w:r>
              <w:rPr>
                <w:b/>
              </w:rPr>
              <w:t>Fully supportive</w:t>
            </w:r>
          </w:p>
        </w:tc>
        <w:tc>
          <w:tcPr>
            <w:tcW w:w="4508" w:type="dxa"/>
          </w:tcPr>
          <w:p w:rsidR="00AF295B" w:rsidRPr="00AF295B" w:rsidRDefault="00AF295B" w:rsidP="0076175C">
            <w:r w:rsidRPr="00AF295B">
              <w:t>26.6%</w:t>
            </w:r>
          </w:p>
        </w:tc>
      </w:tr>
      <w:tr w:rsidR="00AF295B" w:rsidTr="00AF295B">
        <w:tc>
          <w:tcPr>
            <w:tcW w:w="4508" w:type="dxa"/>
          </w:tcPr>
          <w:p w:rsidR="00AF295B" w:rsidRDefault="00AF295B" w:rsidP="0076175C">
            <w:pPr>
              <w:rPr>
                <w:b/>
              </w:rPr>
            </w:pPr>
            <w:r>
              <w:rPr>
                <w:b/>
              </w:rPr>
              <w:t>Broadly supportive</w:t>
            </w:r>
          </w:p>
        </w:tc>
        <w:tc>
          <w:tcPr>
            <w:tcW w:w="4508" w:type="dxa"/>
          </w:tcPr>
          <w:p w:rsidR="00AF295B" w:rsidRPr="00AF295B" w:rsidRDefault="00AF295B" w:rsidP="0076175C">
            <w:r w:rsidRPr="00AF295B">
              <w:t>13.8%</w:t>
            </w:r>
          </w:p>
        </w:tc>
      </w:tr>
      <w:tr w:rsidR="00AF295B" w:rsidTr="00AF295B">
        <w:tc>
          <w:tcPr>
            <w:tcW w:w="4508" w:type="dxa"/>
          </w:tcPr>
          <w:p w:rsidR="00AF295B" w:rsidRDefault="00AF295B" w:rsidP="0076175C">
            <w:pPr>
              <w:rPr>
                <w:b/>
              </w:rPr>
            </w:pPr>
            <w:r>
              <w:rPr>
                <w:b/>
              </w:rPr>
              <w:t>Unsure</w:t>
            </w:r>
          </w:p>
        </w:tc>
        <w:tc>
          <w:tcPr>
            <w:tcW w:w="4508" w:type="dxa"/>
          </w:tcPr>
          <w:p w:rsidR="00AF295B" w:rsidRPr="00AF295B" w:rsidRDefault="00AF295B" w:rsidP="0076175C">
            <w:r w:rsidRPr="00AF295B">
              <w:t>7.6%</w:t>
            </w:r>
          </w:p>
        </w:tc>
      </w:tr>
      <w:tr w:rsidR="00AF295B" w:rsidTr="00AF295B">
        <w:tc>
          <w:tcPr>
            <w:tcW w:w="4508" w:type="dxa"/>
          </w:tcPr>
          <w:p w:rsidR="00AF295B" w:rsidRDefault="00AF295B" w:rsidP="0076175C">
            <w:pPr>
              <w:rPr>
                <w:b/>
              </w:rPr>
            </w:pPr>
            <w:r>
              <w:rPr>
                <w:b/>
              </w:rPr>
              <w:t>Broadly unsupportive</w:t>
            </w:r>
          </w:p>
        </w:tc>
        <w:tc>
          <w:tcPr>
            <w:tcW w:w="4508" w:type="dxa"/>
          </w:tcPr>
          <w:p w:rsidR="00AF295B" w:rsidRPr="00AF295B" w:rsidRDefault="00AF295B" w:rsidP="0076175C">
            <w:r w:rsidRPr="00AF295B">
              <w:t>10.3%</w:t>
            </w:r>
          </w:p>
        </w:tc>
      </w:tr>
      <w:tr w:rsidR="00AF295B" w:rsidTr="00AF295B">
        <w:tc>
          <w:tcPr>
            <w:tcW w:w="4508" w:type="dxa"/>
          </w:tcPr>
          <w:p w:rsidR="00AF295B" w:rsidRDefault="00AF295B" w:rsidP="0076175C">
            <w:pPr>
              <w:rPr>
                <w:b/>
              </w:rPr>
            </w:pPr>
            <w:r>
              <w:rPr>
                <w:b/>
              </w:rPr>
              <w:t>Not supportive</w:t>
            </w:r>
          </w:p>
        </w:tc>
        <w:tc>
          <w:tcPr>
            <w:tcW w:w="4508" w:type="dxa"/>
          </w:tcPr>
          <w:p w:rsidR="00AF295B" w:rsidRPr="00AF295B" w:rsidRDefault="00AF295B" w:rsidP="0076175C">
            <w:r w:rsidRPr="00AF295B">
              <w:t>41.7%</w:t>
            </w:r>
          </w:p>
        </w:tc>
      </w:tr>
    </w:tbl>
    <w:p w:rsidR="00AF295B" w:rsidRDefault="00AF295B" w:rsidP="0076175C">
      <w:pPr>
        <w:rPr>
          <w:b/>
        </w:rPr>
      </w:pPr>
    </w:p>
    <w:p w:rsidR="00AF295B" w:rsidRDefault="00AF295B" w:rsidP="0076175C">
      <w:pPr>
        <w:rPr>
          <w:b/>
        </w:rPr>
      </w:pPr>
    </w:p>
    <w:p w:rsidR="00AF295B" w:rsidRDefault="00AF295B" w:rsidP="0076175C">
      <w:pPr>
        <w:rPr>
          <w:b/>
        </w:rPr>
      </w:pPr>
    </w:p>
    <w:p w:rsidR="00AF295B" w:rsidRDefault="00AF295B" w:rsidP="0076175C">
      <w:pPr>
        <w:rPr>
          <w:b/>
        </w:rPr>
      </w:pPr>
    </w:p>
    <w:p w:rsidR="00AF295B" w:rsidRDefault="00AF295B" w:rsidP="0076175C">
      <w:pPr>
        <w:rPr>
          <w:b/>
          <w:noProof/>
          <w:lang w:eastAsia="en-GB"/>
        </w:rPr>
      </w:pPr>
      <w:r>
        <w:rPr>
          <w:b/>
          <w:noProof/>
          <w:lang w:eastAsia="en-GB"/>
        </w:rPr>
        <w:lastRenderedPageBreak/>
        <w:drawing>
          <wp:anchor distT="0" distB="0" distL="114300" distR="114300" simplePos="0" relativeHeight="251659264" behindDoc="0" locked="0" layoutInCell="1" allowOverlap="1" wp14:anchorId="648DB4FA" wp14:editId="2B64BC74">
            <wp:simplePos x="0" y="0"/>
            <wp:positionH relativeFrom="column">
              <wp:posOffset>314325</wp:posOffset>
            </wp:positionH>
            <wp:positionV relativeFrom="paragraph">
              <wp:posOffset>0</wp:posOffset>
            </wp:positionV>
            <wp:extent cx="4648200" cy="2371725"/>
            <wp:effectExtent l="0" t="0" r="0" b="9525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37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F295B" w:rsidRDefault="00AF295B" w:rsidP="0076175C">
      <w:pPr>
        <w:rPr>
          <w:b/>
        </w:rPr>
      </w:pPr>
    </w:p>
    <w:p w:rsidR="00AF295B" w:rsidRDefault="00AF295B" w:rsidP="0076175C">
      <w:pPr>
        <w:rPr>
          <w:b/>
        </w:rPr>
      </w:pPr>
    </w:p>
    <w:p w:rsidR="00AF295B" w:rsidRDefault="00AF295B" w:rsidP="0076175C">
      <w:pPr>
        <w:rPr>
          <w:b/>
        </w:rPr>
      </w:pPr>
    </w:p>
    <w:p w:rsidR="00AF295B" w:rsidRDefault="00AF295B" w:rsidP="0076175C">
      <w:pPr>
        <w:rPr>
          <w:b/>
        </w:rPr>
      </w:pPr>
    </w:p>
    <w:p w:rsidR="00AF295B" w:rsidRDefault="00AF295B" w:rsidP="0076175C">
      <w:pPr>
        <w:rPr>
          <w:b/>
        </w:rPr>
      </w:pPr>
    </w:p>
    <w:p w:rsidR="00AF295B" w:rsidRDefault="00AF295B" w:rsidP="0076175C">
      <w:pPr>
        <w:rPr>
          <w:b/>
        </w:rPr>
      </w:pPr>
    </w:p>
    <w:p w:rsidR="00AF295B" w:rsidRDefault="00AF295B" w:rsidP="0076175C">
      <w:pPr>
        <w:rPr>
          <w:b/>
        </w:rPr>
      </w:pPr>
    </w:p>
    <w:p w:rsidR="00AF295B" w:rsidRDefault="00AF295B" w:rsidP="0076175C">
      <w:pPr>
        <w:rPr>
          <w:b/>
        </w:rPr>
      </w:pPr>
    </w:p>
    <w:p w:rsidR="00AF295B" w:rsidRDefault="00AF295B" w:rsidP="0076175C">
      <w:r w:rsidRPr="00AF295B">
        <w:t xml:space="preserve">Overall 40.4% of respondents were supportive and 52% were unsupportive. </w:t>
      </w:r>
      <w:r>
        <w:t>If it is accepted that those who decided not to respond to the survey are broadly</w:t>
      </w:r>
      <w:r w:rsidR="00331BAC">
        <w:t xml:space="preserve"> in support of the proposal </w:t>
      </w:r>
      <w:r>
        <w:t>then approximately 95% of stakeholders could be judged to either be supportive</w:t>
      </w:r>
      <w:r w:rsidR="00331BAC">
        <w:t xml:space="preserve"> or not be unsupportive to the proposal.</w:t>
      </w:r>
    </w:p>
    <w:p w:rsidR="00045001" w:rsidRDefault="00045001" w:rsidP="0076175C"/>
    <w:p w:rsidR="00045001" w:rsidRDefault="00045001" w:rsidP="0076175C">
      <w:pPr>
        <w:rPr>
          <w:b/>
        </w:rPr>
      </w:pPr>
      <w:r w:rsidRPr="00045001">
        <w:rPr>
          <w:b/>
        </w:rPr>
        <w:t>Analysis of groups</w:t>
      </w:r>
    </w:p>
    <w:p w:rsidR="00045001" w:rsidRDefault="00045001" w:rsidP="0076175C">
      <w:r w:rsidRPr="00045001">
        <w:t>Analysis of the responses from particular stakeholder groups are included below. This reflects that different stakeholders feel differently about the proposal.</w:t>
      </w:r>
    </w:p>
    <w:p w:rsidR="00045001" w:rsidRPr="00045001" w:rsidRDefault="00045001" w:rsidP="0076175C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045001" w:rsidTr="00045001">
        <w:tc>
          <w:tcPr>
            <w:tcW w:w="1502" w:type="dxa"/>
          </w:tcPr>
          <w:p w:rsidR="00045001" w:rsidRDefault="00045001" w:rsidP="0076175C">
            <w:pPr>
              <w:rPr>
                <w:b/>
              </w:rPr>
            </w:pPr>
          </w:p>
        </w:tc>
        <w:tc>
          <w:tcPr>
            <w:tcW w:w="1502" w:type="dxa"/>
          </w:tcPr>
          <w:p w:rsidR="00045001" w:rsidRDefault="00045001" w:rsidP="0076175C">
            <w:pPr>
              <w:rPr>
                <w:b/>
              </w:rPr>
            </w:pPr>
            <w:r>
              <w:rPr>
                <w:b/>
              </w:rPr>
              <w:t>Full Supportive</w:t>
            </w:r>
          </w:p>
        </w:tc>
        <w:tc>
          <w:tcPr>
            <w:tcW w:w="1503" w:type="dxa"/>
          </w:tcPr>
          <w:p w:rsidR="00045001" w:rsidRDefault="00045001" w:rsidP="0076175C">
            <w:pPr>
              <w:rPr>
                <w:b/>
              </w:rPr>
            </w:pPr>
            <w:r>
              <w:rPr>
                <w:b/>
              </w:rPr>
              <w:t>Broadly Supportive</w:t>
            </w:r>
          </w:p>
        </w:tc>
        <w:tc>
          <w:tcPr>
            <w:tcW w:w="1503" w:type="dxa"/>
          </w:tcPr>
          <w:p w:rsidR="00045001" w:rsidRDefault="00045001" w:rsidP="0076175C">
            <w:pPr>
              <w:rPr>
                <w:b/>
              </w:rPr>
            </w:pPr>
            <w:r>
              <w:rPr>
                <w:b/>
              </w:rPr>
              <w:t>Unsure</w:t>
            </w:r>
          </w:p>
        </w:tc>
        <w:tc>
          <w:tcPr>
            <w:tcW w:w="1503" w:type="dxa"/>
          </w:tcPr>
          <w:p w:rsidR="00045001" w:rsidRDefault="00045001" w:rsidP="0076175C">
            <w:pPr>
              <w:rPr>
                <w:b/>
              </w:rPr>
            </w:pPr>
            <w:r>
              <w:rPr>
                <w:b/>
              </w:rPr>
              <w:t>Broadly unsupportive</w:t>
            </w:r>
          </w:p>
        </w:tc>
        <w:tc>
          <w:tcPr>
            <w:tcW w:w="1503" w:type="dxa"/>
          </w:tcPr>
          <w:p w:rsidR="00045001" w:rsidRDefault="00045001" w:rsidP="0076175C">
            <w:pPr>
              <w:rPr>
                <w:b/>
              </w:rPr>
            </w:pPr>
            <w:r>
              <w:rPr>
                <w:b/>
              </w:rPr>
              <w:t>Not supportive</w:t>
            </w:r>
          </w:p>
        </w:tc>
      </w:tr>
      <w:tr w:rsidR="00045001" w:rsidTr="00045001">
        <w:tc>
          <w:tcPr>
            <w:tcW w:w="1502" w:type="dxa"/>
          </w:tcPr>
          <w:p w:rsidR="00045001" w:rsidRDefault="00045001" w:rsidP="0076175C">
            <w:pPr>
              <w:rPr>
                <w:b/>
              </w:rPr>
            </w:pPr>
            <w:r>
              <w:rPr>
                <w:b/>
              </w:rPr>
              <w:t>Parent/Carer</w:t>
            </w:r>
          </w:p>
        </w:tc>
        <w:tc>
          <w:tcPr>
            <w:tcW w:w="1502" w:type="dxa"/>
          </w:tcPr>
          <w:p w:rsidR="00045001" w:rsidRPr="00045001" w:rsidRDefault="00045001" w:rsidP="00045001">
            <w:pPr>
              <w:jc w:val="center"/>
            </w:pPr>
            <w:r>
              <w:t>38%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17%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6%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8%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31%</w:t>
            </w:r>
          </w:p>
        </w:tc>
      </w:tr>
      <w:tr w:rsidR="00045001" w:rsidTr="00045001">
        <w:tc>
          <w:tcPr>
            <w:tcW w:w="1502" w:type="dxa"/>
          </w:tcPr>
          <w:p w:rsidR="00045001" w:rsidRDefault="00045001" w:rsidP="0076175C">
            <w:pPr>
              <w:rPr>
                <w:b/>
              </w:rPr>
            </w:pPr>
            <w:r>
              <w:rPr>
                <w:b/>
              </w:rPr>
              <w:t>Teaching staff</w:t>
            </w:r>
          </w:p>
        </w:tc>
        <w:tc>
          <w:tcPr>
            <w:tcW w:w="1502" w:type="dxa"/>
          </w:tcPr>
          <w:p w:rsidR="00045001" w:rsidRPr="00045001" w:rsidRDefault="00045001" w:rsidP="00045001">
            <w:pPr>
              <w:jc w:val="center"/>
            </w:pPr>
            <w:r>
              <w:t>13%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12%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12%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27%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37%</w:t>
            </w:r>
          </w:p>
        </w:tc>
      </w:tr>
      <w:tr w:rsidR="00045001" w:rsidTr="00045001">
        <w:tc>
          <w:tcPr>
            <w:tcW w:w="1502" w:type="dxa"/>
          </w:tcPr>
          <w:p w:rsidR="00045001" w:rsidRDefault="00045001" w:rsidP="0076175C">
            <w:pPr>
              <w:rPr>
                <w:b/>
              </w:rPr>
            </w:pPr>
            <w:r>
              <w:rPr>
                <w:b/>
              </w:rPr>
              <w:t>Support staff</w:t>
            </w:r>
          </w:p>
        </w:tc>
        <w:tc>
          <w:tcPr>
            <w:tcW w:w="1502" w:type="dxa"/>
          </w:tcPr>
          <w:p w:rsidR="00045001" w:rsidRPr="00045001" w:rsidRDefault="00045001" w:rsidP="00045001">
            <w:pPr>
              <w:jc w:val="center"/>
            </w:pPr>
            <w:r>
              <w:t>29%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24%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19%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10%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19%</w:t>
            </w:r>
          </w:p>
        </w:tc>
      </w:tr>
      <w:tr w:rsidR="00045001" w:rsidTr="00045001">
        <w:tc>
          <w:tcPr>
            <w:tcW w:w="1502" w:type="dxa"/>
          </w:tcPr>
          <w:p w:rsidR="00045001" w:rsidRDefault="00045001" w:rsidP="0076175C">
            <w:pPr>
              <w:rPr>
                <w:b/>
              </w:rPr>
            </w:pPr>
            <w:r>
              <w:rPr>
                <w:b/>
              </w:rPr>
              <w:t>Other</w:t>
            </w:r>
          </w:p>
        </w:tc>
        <w:tc>
          <w:tcPr>
            <w:tcW w:w="1502" w:type="dxa"/>
          </w:tcPr>
          <w:p w:rsidR="00045001" w:rsidRPr="00045001" w:rsidRDefault="00045001" w:rsidP="00045001">
            <w:pPr>
              <w:jc w:val="center"/>
            </w:pPr>
            <w:r>
              <w:t>5%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3%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3%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2%</w:t>
            </w:r>
          </w:p>
        </w:tc>
        <w:tc>
          <w:tcPr>
            <w:tcW w:w="1503" w:type="dxa"/>
          </w:tcPr>
          <w:p w:rsidR="00045001" w:rsidRPr="00045001" w:rsidRDefault="00045001" w:rsidP="00045001">
            <w:pPr>
              <w:jc w:val="center"/>
            </w:pPr>
            <w:r>
              <w:t>86%</w:t>
            </w:r>
          </w:p>
        </w:tc>
      </w:tr>
    </w:tbl>
    <w:p w:rsidR="00045001" w:rsidRPr="00045001" w:rsidRDefault="00045001" w:rsidP="0076175C">
      <w:pPr>
        <w:rPr>
          <w:b/>
        </w:rPr>
      </w:pPr>
    </w:p>
    <w:p w:rsidR="00045001" w:rsidRDefault="00045001" w:rsidP="0076175C"/>
    <w:p w:rsidR="00AF295B" w:rsidRPr="00AF295B" w:rsidRDefault="00AF295B" w:rsidP="0076175C"/>
    <w:p w:rsidR="00AF295B" w:rsidRPr="00AF295B" w:rsidRDefault="00AF295B" w:rsidP="0076175C">
      <w:pPr>
        <w:rPr>
          <w:b/>
        </w:rPr>
      </w:pPr>
    </w:p>
    <w:sectPr w:rsidR="00AF295B" w:rsidRPr="00AF295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2673BCE"/>
    <w:multiLevelType w:val="hybridMultilevel"/>
    <w:tmpl w:val="09D44B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7B65885"/>
    <w:multiLevelType w:val="hybridMultilevel"/>
    <w:tmpl w:val="6CEE87D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757995"/>
    <w:multiLevelType w:val="hybridMultilevel"/>
    <w:tmpl w:val="3DA423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175C"/>
    <w:rsid w:val="00045001"/>
    <w:rsid w:val="001353A8"/>
    <w:rsid w:val="001A5062"/>
    <w:rsid w:val="001E280A"/>
    <w:rsid w:val="002B33B5"/>
    <w:rsid w:val="00331BAC"/>
    <w:rsid w:val="004B01AE"/>
    <w:rsid w:val="0051185B"/>
    <w:rsid w:val="0076175C"/>
    <w:rsid w:val="00804434"/>
    <w:rsid w:val="0097373F"/>
    <w:rsid w:val="00AE0C0E"/>
    <w:rsid w:val="00AF295B"/>
    <w:rsid w:val="00AF77DC"/>
    <w:rsid w:val="00D26A88"/>
    <w:rsid w:val="00EA56D6"/>
    <w:rsid w:val="00FF5E55"/>
    <w:rsid w:val="00FF7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02FB2B-6FAD-47BC-A927-28260C57B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6175C"/>
    <w:pPr>
      <w:ind w:left="720"/>
      <w:contextualSpacing/>
    </w:pPr>
  </w:style>
  <w:style w:type="table" w:styleId="TableGrid">
    <w:name w:val="Table Grid"/>
    <w:basedOn w:val="TableNormal"/>
    <w:uiPriority w:val="39"/>
    <w:rsid w:val="0076175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73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37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Whickham School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Turnbull Fraser</dc:creator>
  <cp:keywords/>
  <dc:description/>
  <cp:lastModifiedBy>Nicola Graham</cp:lastModifiedBy>
  <cp:revision>2</cp:revision>
  <cp:lastPrinted>2017-05-11T10:59:00Z</cp:lastPrinted>
  <dcterms:created xsi:type="dcterms:W3CDTF">2017-05-26T07:56:00Z</dcterms:created>
  <dcterms:modified xsi:type="dcterms:W3CDTF">2017-05-26T07:56:00Z</dcterms:modified>
</cp:coreProperties>
</file>