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5F" w:rsidRPr="00796FC9" w:rsidRDefault="00D90C5F" w:rsidP="00D90C5F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D90C5F" w:rsidRPr="00796FC9" w:rsidRDefault="00D90C5F" w:rsidP="00D90C5F">
      <w:pPr>
        <w:pStyle w:val="Default"/>
        <w:jc w:val="center"/>
        <w:rPr>
          <w:rFonts w:ascii="Calibri" w:hAnsi="Calibri"/>
          <w:b/>
          <w:bCs/>
          <w:u w:val="single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tbl>
      <w:tblPr>
        <w:tblpPr w:leftFromText="180" w:rightFromText="180" w:vertAnchor="page" w:horzAnchor="margin" w:tblpXSpec="center" w:tblpY="1801"/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D90C5F" w:rsidRPr="00D90C5F" w:rsidTr="00FC68DB">
        <w:trPr>
          <w:trHeight w:val="2501"/>
        </w:trPr>
        <w:tc>
          <w:tcPr>
            <w:tcW w:w="8613" w:type="dxa"/>
            <w:gridSpan w:val="2"/>
            <w:shd w:val="clear" w:color="auto" w:fill="auto"/>
          </w:tcPr>
          <w:p w:rsidR="00D90C5F" w:rsidRPr="00D90C5F" w:rsidRDefault="00D90C5F" w:rsidP="00D90C5F">
            <w:pPr>
              <w:pStyle w:val="NoSpacing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D90C5F">
              <w:rPr>
                <w:rFonts w:ascii="Arial Rounded MT Bold" w:hAnsi="Arial Rounded MT Bold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72BA656" wp14:editId="3098F667">
                  <wp:simplePos x="0" y="0"/>
                  <wp:positionH relativeFrom="margin">
                    <wp:posOffset>1955165</wp:posOffset>
                  </wp:positionH>
                  <wp:positionV relativeFrom="margin">
                    <wp:posOffset>49530</wp:posOffset>
                  </wp:positionV>
                  <wp:extent cx="1066800" cy="1066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  <w:p w:rsidR="00D90C5F" w:rsidRDefault="00D90C5F" w:rsidP="00D90C5F">
            <w:pPr>
              <w:pStyle w:val="NoSpacing"/>
              <w:ind w:firstLine="106"/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D90C5F">
              <w:rPr>
                <w:rFonts w:ascii="Arial Rounded MT Bold" w:hAnsi="Arial Rounded MT Bold"/>
                <w:color w:val="000000"/>
                <w:sz w:val="32"/>
                <w:szCs w:val="32"/>
              </w:rPr>
              <w:t>GOVERNORS’ ALLOWANCE</w:t>
            </w:r>
            <w:r>
              <w:rPr>
                <w:rFonts w:ascii="Arial Rounded MT Bold" w:hAnsi="Arial Rounded MT Bold"/>
                <w:color w:val="000000"/>
                <w:sz w:val="32"/>
                <w:szCs w:val="32"/>
              </w:rPr>
              <w:t xml:space="preserve"> POLICY </w:t>
            </w:r>
          </w:p>
          <w:p w:rsidR="00FC68DB" w:rsidRPr="00D90C5F" w:rsidRDefault="00FC68DB" w:rsidP="00D90C5F">
            <w:pPr>
              <w:pStyle w:val="NoSpacing"/>
              <w:ind w:firstLine="106"/>
              <w:jc w:val="center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  <w:r w:rsidRPr="00FC68DB">
              <w:rPr>
                <w:rFonts w:ascii="Arial Rounded MT Bold" w:hAnsi="Arial Rounded MT Bold"/>
                <w:color w:val="000000"/>
                <w:sz w:val="32"/>
                <w:szCs w:val="32"/>
              </w:rPr>
              <w:t>STATEMENT OF INTENT</w:t>
            </w:r>
          </w:p>
          <w:p w:rsidR="00D90C5F" w:rsidRPr="00D90C5F" w:rsidRDefault="00D90C5F" w:rsidP="00D90C5F">
            <w:pPr>
              <w:pStyle w:val="NoSpacing"/>
              <w:ind w:firstLine="106"/>
              <w:rPr>
                <w:rFonts w:ascii="Arial Rounded MT Bold" w:hAnsi="Arial Rounded MT Bold"/>
                <w:color w:val="000000"/>
                <w:sz w:val="32"/>
                <w:szCs w:val="32"/>
              </w:rPr>
            </w:pPr>
          </w:p>
        </w:tc>
      </w:tr>
      <w:tr w:rsidR="00D90C5F" w:rsidRPr="00D90C5F" w:rsidTr="00FC68DB">
        <w:trPr>
          <w:trHeight w:val="928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PHASE</w:t>
            </w:r>
          </w:p>
        </w:tc>
        <w:tc>
          <w:tcPr>
            <w:tcW w:w="4252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SECONDARY &amp; JUNIOR</w:t>
            </w:r>
          </w:p>
        </w:tc>
      </w:tr>
      <w:tr w:rsidR="00D90C5F" w:rsidRPr="00D90C5F" w:rsidTr="00FC68DB">
        <w:trPr>
          <w:trHeight w:val="702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POLICY LEAD</w:t>
            </w:r>
          </w:p>
        </w:tc>
        <w:tc>
          <w:tcPr>
            <w:tcW w:w="4252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MARGARET CATLING</w:t>
            </w:r>
          </w:p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(CHIEF FINANCIAL OFFICER)</w:t>
            </w:r>
          </w:p>
        </w:tc>
      </w:tr>
      <w:tr w:rsidR="00D90C5F" w:rsidRPr="00D90C5F" w:rsidTr="00FC68DB">
        <w:trPr>
          <w:trHeight w:val="351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DATE OF APPROVAL BY TRUSTEES</w:t>
            </w:r>
          </w:p>
        </w:tc>
        <w:tc>
          <w:tcPr>
            <w:tcW w:w="4252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4</w:t>
            </w: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  <w:vertAlign w:val="superscript"/>
              </w:rPr>
              <w:t>TH</w:t>
            </w: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 xml:space="preserve"> NOVEMBER 2019</w:t>
            </w:r>
          </w:p>
        </w:tc>
      </w:tr>
      <w:tr w:rsidR="00D90C5F" w:rsidRPr="00D90C5F" w:rsidTr="00FC68DB">
        <w:trPr>
          <w:trHeight w:val="1054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DATE OF RECEIPT BY LOCAL GOVERNING BODY</w:t>
            </w:r>
          </w:p>
        </w:tc>
        <w:tc>
          <w:tcPr>
            <w:tcW w:w="4252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DECEMBER 2019</w:t>
            </w:r>
          </w:p>
          <w:p w:rsidR="00D90C5F" w:rsidRPr="00FC68DB" w:rsidRDefault="00D90C5F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</w:p>
        </w:tc>
      </w:tr>
      <w:tr w:rsidR="00D90C5F" w:rsidRPr="00D90C5F" w:rsidTr="00FC68DB">
        <w:trPr>
          <w:trHeight w:val="351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FREQUENCY DATE</w:t>
            </w:r>
          </w:p>
        </w:tc>
        <w:tc>
          <w:tcPr>
            <w:tcW w:w="4252" w:type="dxa"/>
            <w:shd w:val="clear" w:color="auto" w:fill="auto"/>
          </w:tcPr>
          <w:p w:rsidR="00FC68DB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sz w:val="28"/>
                <w:szCs w:val="32"/>
              </w:rPr>
              <w:t>EVERY THREE YEARS</w:t>
            </w:r>
          </w:p>
          <w:p w:rsidR="00FC68DB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FF0000"/>
                <w:sz w:val="28"/>
                <w:szCs w:val="32"/>
              </w:rPr>
            </w:pPr>
          </w:p>
        </w:tc>
      </w:tr>
      <w:tr w:rsidR="00D90C5F" w:rsidRPr="00D90C5F" w:rsidTr="00FC68DB">
        <w:trPr>
          <w:trHeight w:val="702"/>
        </w:trPr>
        <w:tc>
          <w:tcPr>
            <w:tcW w:w="4361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NEXT REVIEW DATE</w:t>
            </w:r>
          </w:p>
        </w:tc>
        <w:tc>
          <w:tcPr>
            <w:tcW w:w="4252" w:type="dxa"/>
            <w:shd w:val="clear" w:color="auto" w:fill="auto"/>
          </w:tcPr>
          <w:p w:rsidR="00D90C5F" w:rsidRPr="00FC68DB" w:rsidRDefault="00FC68DB" w:rsidP="00FC68DB">
            <w:pPr>
              <w:pStyle w:val="NoSpacing"/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</w:pPr>
            <w:r w:rsidRPr="00FC68DB">
              <w:rPr>
                <w:rFonts w:ascii="Arial Rounded MT Bold" w:hAnsi="Arial Rounded MT Bold" w:cs="Calibri"/>
                <w:color w:val="000000"/>
                <w:sz w:val="28"/>
                <w:szCs w:val="32"/>
              </w:rPr>
              <w:t>SEPTEMBER 2022</w:t>
            </w:r>
          </w:p>
        </w:tc>
      </w:tr>
    </w:tbl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  <w:bookmarkStart w:id="0" w:name="_GoBack"/>
      <w:bookmarkEnd w:id="0"/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D90C5F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</w:p>
    <w:p w:rsidR="000E536D" w:rsidRPr="00D844E3" w:rsidRDefault="00D90C5F" w:rsidP="009333D7">
      <w:pPr>
        <w:jc w:val="center"/>
        <w:rPr>
          <w:rFonts w:ascii="Arial Rounded MT Bold" w:hAnsi="Arial Rounded MT Bold"/>
          <w:sz w:val="28"/>
          <w:szCs w:val="24"/>
        </w:rPr>
      </w:pPr>
      <w:r>
        <w:rPr>
          <w:rFonts w:ascii="Arial Rounded MT Bold" w:hAnsi="Arial Rounded MT Bold"/>
          <w:sz w:val="28"/>
          <w:szCs w:val="24"/>
        </w:rPr>
        <w:lastRenderedPageBreak/>
        <w:t xml:space="preserve">STATEMENT OF INTENT </w:t>
      </w:r>
    </w:p>
    <w:p w:rsidR="00D844E3" w:rsidRDefault="00D90C5F" w:rsidP="000E536D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At ACET w</w:t>
      </w:r>
      <w:r w:rsidR="00944ABE" w:rsidRPr="000E536D">
        <w:rPr>
          <w:rFonts w:ascii="Arial Rounded MT Bold" w:hAnsi="Arial Rounded MT Bold"/>
          <w:sz w:val="24"/>
          <w:szCs w:val="24"/>
        </w:rPr>
        <w:t xml:space="preserve">e are dedicated to good practice and ensuring equality through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="00944ABE" w:rsidRPr="000E536D">
        <w:rPr>
          <w:rFonts w:ascii="Arial Rounded MT Bold" w:hAnsi="Arial Rounded MT Bold"/>
          <w:sz w:val="24"/>
          <w:szCs w:val="24"/>
        </w:rPr>
        <w:t xml:space="preserve"> processes.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 Governance (Roles, Procedures and Allowances) (England) Regulations 2013 allow governing bodies of </w:t>
      </w:r>
      <w:r w:rsidR="00D844E3">
        <w:rPr>
          <w:rFonts w:ascii="Arial Rounded MT Bold" w:hAnsi="Arial Rounded MT Bold"/>
          <w:sz w:val="24"/>
          <w:szCs w:val="24"/>
        </w:rPr>
        <w:t>academies</w:t>
      </w:r>
      <w:r w:rsidRPr="000E536D">
        <w:rPr>
          <w:rFonts w:ascii="Arial Rounded MT Bold" w:hAnsi="Arial Rounded MT Bold"/>
          <w:sz w:val="24"/>
          <w:szCs w:val="24"/>
        </w:rPr>
        <w:t xml:space="preserve">, who have a delegated budget, to </w:t>
      </w:r>
      <w:r w:rsidRPr="00D844E3">
        <w:rPr>
          <w:rFonts w:ascii="Arial Rounded MT Bold" w:hAnsi="Arial Rounded MT Bold"/>
          <w:b/>
          <w:sz w:val="24"/>
          <w:szCs w:val="24"/>
        </w:rPr>
        <w:t>decide whether they wish to pay expenses</w:t>
      </w:r>
      <w:r w:rsidRPr="000E536D">
        <w:rPr>
          <w:rFonts w:ascii="Arial Rounded MT Bold" w:hAnsi="Arial Rounded MT Bold"/>
          <w:sz w:val="24"/>
          <w:szCs w:val="24"/>
        </w:rPr>
        <w:t xml:space="preserve"> to governors and associate members of the governing body, in order to reimburse any expenses they have incurred when serving as a governor.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This policy has been created with the aim of ensuring all governors, and non-governors who are members of the governing body, receive reimbursements for any expenses where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 has derived benefit from the individual serving their governing duty. </w:t>
      </w:r>
    </w:p>
    <w:p w:rsidR="005005CE" w:rsidRDefault="00D90C5F" w:rsidP="000E536D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ACET</w:t>
      </w:r>
      <w:r w:rsidR="00944ABE" w:rsidRPr="000E536D">
        <w:rPr>
          <w:rFonts w:ascii="Arial Rounded MT Bold" w:hAnsi="Arial Rounded MT Bold"/>
          <w:sz w:val="24"/>
          <w:szCs w:val="24"/>
        </w:rPr>
        <w:t xml:space="preserve"> believes that including payment for governors is important in ensuring equality for all governing members of our community and is, therefore, an appropriate use of our annual budget. </w:t>
      </w:r>
    </w:p>
    <w:p w:rsidR="00D844E3" w:rsidRPr="00835E0A" w:rsidRDefault="00D844E3" w:rsidP="000E536D">
      <w:pPr>
        <w:jc w:val="both"/>
        <w:rPr>
          <w:rFonts w:ascii="Arial Rounded MT Bold" w:hAnsi="Arial Rounded MT Bold"/>
          <w:sz w:val="28"/>
          <w:szCs w:val="28"/>
        </w:rPr>
      </w:pPr>
      <w:r w:rsidRPr="00835E0A">
        <w:rPr>
          <w:rFonts w:ascii="Arial Rounded MT Bold" w:hAnsi="Arial Rounded MT Bold"/>
          <w:sz w:val="28"/>
          <w:szCs w:val="28"/>
        </w:rPr>
        <w:t>1</w:t>
      </w:r>
      <w:r w:rsidRPr="00835E0A">
        <w:rPr>
          <w:rFonts w:ascii="Arial Rounded MT Bold" w:hAnsi="Arial Rounded MT Bold"/>
          <w:sz w:val="28"/>
          <w:szCs w:val="28"/>
        </w:rPr>
        <w:tab/>
      </w:r>
      <w:r w:rsidR="00944ABE" w:rsidRPr="00835E0A">
        <w:rPr>
          <w:rFonts w:ascii="Arial Rounded MT Bold" w:hAnsi="Arial Rounded MT Bold"/>
          <w:sz w:val="28"/>
          <w:szCs w:val="28"/>
          <w:u w:val="single"/>
        </w:rPr>
        <w:t>Legal framework</w:t>
      </w:r>
      <w:r w:rsidR="00944ABE" w:rsidRPr="00835E0A">
        <w:rPr>
          <w:rFonts w:ascii="Arial Rounded MT Bold" w:hAnsi="Arial Rounded MT Bold"/>
          <w:sz w:val="28"/>
          <w:szCs w:val="28"/>
        </w:rPr>
        <w:t xml:space="preserve">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1.1. This policy has due regard to the following legislation, including, but not limited to: </w:t>
      </w:r>
    </w:p>
    <w:p w:rsidR="00D844E3" w:rsidRPr="00835E0A" w:rsidRDefault="00D844E3" w:rsidP="000E536D">
      <w:pPr>
        <w:jc w:val="both"/>
        <w:rPr>
          <w:rFonts w:ascii="Arial Rounded MT Bold" w:hAnsi="Arial Rounded MT Bold"/>
          <w:sz w:val="28"/>
          <w:szCs w:val="28"/>
        </w:rPr>
      </w:pPr>
      <w:r w:rsidRPr="00835E0A">
        <w:rPr>
          <w:rFonts w:ascii="Arial Rounded MT Bold" w:hAnsi="Arial Rounded MT Bold"/>
          <w:sz w:val="28"/>
          <w:szCs w:val="28"/>
        </w:rPr>
        <w:t>2</w:t>
      </w:r>
      <w:r w:rsidRPr="00835E0A">
        <w:rPr>
          <w:rFonts w:ascii="Arial Rounded MT Bold" w:hAnsi="Arial Rounded MT Bold"/>
          <w:sz w:val="28"/>
          <w:szCs w:val="28"/>
        </w:rPr>
        <w:tab/>
      </w:r>
      <w:r w:rsidR="00944ABE" w:rsidRPr="00835E0A">
        <w:rPr>
          <w:rFonts w:ascii="Arial Rounded MT Bold" w:hAnsi="Arial Rounded MT Bold"/>
          <w:sz w:val="28"/>
          <w:szCs w:val="28"/>
          <w:u w:val="single"/>
        </w:rPr>
        <w:t xml:space="preserve">The </w:t>
      </w:r>
      <w:r w:rsidR="00EC4F83">
        <w:rPr>
          <w:rFonts w:ascii="Arial Rounded MT Bold" w:hAnsi="Arial Rounded MT Bold"/>
          <w:sz w:val="28"/>
          <w:szCs w:val="28"/>
          <w:u w:val="single"/>
        </w:rPr>
        <w:t>Academy</w:t>
      </w:r>
      <w:r w:rsidR="00944ABE" w:rsidRPr="00835E0A">
        <w:rPr>
          <w:rFonts w:ascii="Arial Rounded MT Bold" w:hAnsi="Arial Rounded MT Bold"/>
          <w:sz w:val="28"/>
          <w:szCs w:val="28"/>
          <w:u w:val="single"/>
        </w:rPr>
        <w:t xml:space="preserve"> Governance (Roles, Procedures and Allowances) (England) Regulations 2013</w:t>
      </w:r>
      <w:r w:rsidR="00944ABE" w:rsidRPr="00835E0A">
        <w:rPr>
          <w:rFonts w:ascii="Arial Rounded MT Bold" w:hAnsi="Arial Rounded MT Bold"/>
          <w:sz w:val="28"/>
          <w:szCs w:val="28"/>
        </w:rPr>
        <w:t xml:space="preserve">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2.1. Under these regulations, </w:t>
      </w:r>
      <w:r w:rsidR="00EC4F83">
        <w:rPr>
          <w:rFonts w:ascii="Arial Rounded MT Bold" w:hAnsi="Arial Rounded MT Bold"/>
          <w:sz w:val="24"/>
          <w:szCs w:val="24"/>
        </w:rPr>
        <w:t xml:space="preserve">academies </w:t>
      </w:r>
      <w:r w:rsidRPr="000E536D">
        <w:rPr>
          <w:rFonts w:ascii="Arial Rounded MT Bold" w:hAnsi="Arial Rounded MT Bold"/>
          <w:sz w:val="24"/>
          <w:szCs w:val="24"/>
        </w:rPr>
        <w:t xml:space="preserve">may decide to provide payments to governors in order to cover costs for expenses paid whilst fulfilling their roles.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2.2. There are, however, restrictions on the circumstances under which governors can receive payments from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. Governors must not receive any reimbursement for loss of earnings due to attendance at meetings or a payment allowance for attendance.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2.3. The circumstances in which governors will receive payments must be agreed by the governing body in advance, and be authorised by submitting a claim form.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2.4. Any payments to governors must only be authorised if the governing body has deemed the circumstances beneficial to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2.5. Any travel expenses must be returned at a rate not exceeding the HM Revenue and Customs approved mileage rates. </w:t>
      </w:r>
    </w:p>
    <w:p w:rsidR="005005CE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2.6. Other approved expenses will only be granted upon provision of a receipt, and for only the amount shown on the receipt. </w:t>
      </w:r>
    </w:p>
    <w:p w:rsidR="00D844E3" w:rsidRPr="00DC0E4C" w:rsidRDefault="00D844E3" w:rsidP="000E536D">
      <w:pPr>
        <w:jc w:val="both"/>
        <w:rPr>
          <w:rFonts w:ascii="Arial Rounded MT Bold" w:hAnsi="Arial Rounded MT Bold"/>
          <w:sz w:val="28"/>
          <w:szCs w:val="28"/>
        </w:rPr>
      </w:pPr>
      <w:r w:rsidRPr="00DC0E4C">
        <w:rPr>
          <w:rFonts w:ascii="Arial Rounded MT Bold" w:hAnsi="Arial Rounded MT Bold"/>
          <w:sz w:val="28"/>
          <w:szCs w:val="28"/>
        </w:rPr>
        <w:t>3</w:t>
      </w:r>
      <w:r w:rsidRPr="00DC0E4C">
        <w:rPr>
          <w:rFonts w:ascii="Arial Rounded MT Bold" w:hAnsi="Arial Rounded MT Bold"/>
          <w:sz w:val="28"/>
          <w:szCs w:val="28"/>
        </w:rPr>
        <w:tab/>
      </w:r>
      <w:r w:rsidR="00944ABE" w:rsidRPr="00DC0E4C">
        <w:rPr>
          <w:rFonts w:ascii="Arial Rounded MT Bold" w:hAnsi="Arial Rounded MT Bold"/>
          <w:sz w:val="28"/>
          <w:szCs w:val="28"/>
          <w:u w:val="single"/>
        </w:rPr>
        <w:t>What can governors claim expenses for?</w:t>
      </w:r>
      <w:r w:rsidR="00944ABE" w:rsidRPr="00DC0E4C">
        <w:rPr>
          <w:rFonts w:ascii="Arial Rounded MT Bold" w:hAnsi="Arial Rounded MT Bold"/>
          <w:sz w:val="28"/>
          <w:szCs w:val="28"/>
        </w:rPr>
        <w:t xml:space="preserve">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3.1. Governors at </w:t>
      </w:r>
      <w:r w:rsidR="00D90C5F">
        <w:rPr>
          <w:rFonts w:ascii="Arial Rounded MT Bold" w:hAnsi="Arial Rounded MT Bold"/>
          <w:sz w:val="24"/>
          <w:szCs w:val="24"/>
        </w:rPr>
        <w:t>ACET</w:t>
      </w:r>
      <w:r w:rsidRPr="000E536D">
        <w:rPr>
          <w:rFonts w:ascii="Arial Rounded MT Bold" w:hAnsi="Arial Rounded MT Bold"/>
          <w:sz w:val="24"/>
          <w:szCs w:val="24"/>
        </w:rPr>
        <w:t xml:space="preserve"> will be able to claim expenses in the following instances, on a case-by-case basis and with prior approval from the governing body: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sym w:font="Symbol" w:char="F0B7"/>
      </w:r>
      <w:r w:rsidRPr="000E536D">
        <w:rPr>
          <w:rFonts w:ascii="Arial Rounded MT Bold" w:hAnsi="Arial Rounded MT Bold"/>
          <w:sz w:val="24"/>
          <w:szCs w:val="24"/>
        </w:rPr>
        <w:t xml:space="preserve"> Travel: - Claims for expenses may be made for travel between the governor’s household and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, at the level of mileage rates published by HM Revenue and Customs (45 pence per mile). - The nature of the visit must be related to the work of the governing body, e.g. governors’ meetings, training courses, etc. - Payments will be reimbursed for use of public transport or taxis, upon production of a valid receipt. The costs of parking for business away from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, where necessary, will be returned upon production of a valid receipt.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sym w:font="Symbol" w:char="F0B7"/>
      </w:r>
      <w:r w:rsidRPr="000E536D">
        <w:rPr>
          <w:rFonts w:ascii="Arial Rounded MT Bold" w:hAnsi="Arial Rounded MT Bold"/>
          <w:sz w:val="24"/>
          <w:szCs w:val="24"/>
        </w:rPr>
        <w:t xml:space="preserve"> Childcare: - In cases where a governor does not have a spouse or family member to care for a child/children when the governor must attend meetings relating to the work of the </w:t>
      </w:r>
      <w:r w:rsidRPr="000E536D">
        <w:rPr>
          <w:rFonts w:ascii="Arial Rounded MT Bold" w:hAnsi="Arial Rounded MT Bold"/>
          <w:sz w:val="24"/>
          <w:szCs w:val="24"/>
        </w:rPr>
        <w:lastRenderedPageBreak/>
        <w:t>governing body, expenses will be returned for the cost of childcare or a babysitter. - Allowances will also be reimbursed for the cost of care for elderly or dependant relatives where the governor must be absent d</w:t>
      </w:r>
      <w:r w:rsidR="00D844E3">
        <w:rPr>
          <w:rFonts w:ascii="Arial Rounded MT Bold" w:hAnsi="Arial Rounded MT Bold"/>
          <w:sz w:val="24"/>
          <w:szCs w:val="24"/>
        </w:rPr>
        <w:t xml:space="preserve">ue to their governing duties.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sym w:font="Symbol" w:char="F0B7"/>
      </w:r>
      <w:r w:rsidRPr="000E536D">
        <w:rPr>
          <w:rFonts w:ascii="Arial Rounded MT Bold" w:hAnsi="Arial Rounded MT Bold"/>
          <w:sz w:val="24"/>
          <w:szCs w:val="24"/>
        </w:rPr>
        <w:t xml:space="preserve"> Specific needs: - Governors may claim allowances for expenses relating to specific needs, incurred when carrying out approved duties. - The circumstances in which governors can claim expenses for specific needs may include: taxi fares, audio equipment or support from a signer</w:t>
      </w:r>
      <w:r w:rsidR="00D844E3">
        <w:rPr>
          <w:rFonts w:ascii="Arial Rounded MT Bold" w:hAnsi="Arial Rounded MT Bold"/>
          <w:sz w:val="24"/>
          <w:szCs w:val="24"/>
        </w:rPr>
        <w:t xml:space="preserve">, braille transcription, etc.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sym w:font="Symbol" w:char="F0B7"/>
      </w:r>
      <w:r w:rsidRPr="000E536D">
        <w:rPr>
          <w:rFonts w:ascii="Arial Rounded MT Bold" w:hAnsi="Arial Rounded MT Bold"/>
          <w:sz w:val="24"/>
          <w:szCs w:val="24"/>
        </w:rPr>
        <w:t xml:space="preserve"> Telephone charges, photocopying, stationery, etc. - Claims for reimbursements can be made where a governor is unable to use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’s facilities for any of the above. - Allowances will be returned upon production of a valid receipt, where appropriate. In all other cases, a full written report must be submitted.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3.2. This list is not exhaustive and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 may decide to reimburse in other instances; however, this must be discussed by the governing body. </w:t>
      </w:r>
    </w:p>
    <w:p w:rsidR="00D844E3" w:rsidRPr="00DC0E4C" w:rsidRDefault="00D844E3" w:rsidP="000E536D">
      <w:pPr>
        <w:jc w:val="both"/>
        <w:rPr>
          <w:rFonts w:ascii="Arial Rounded MT Bold" w:hAnsi="Arial Rounded MT Bold"/>
          <w:sz w:val="28"/>
          <w:szCs w:val="28"/>
        </w:rPr>
      </w:pPr>
      <w:r w:rsidRPr="00DC0E4C">
        <w:rPr>
          <w:rFonts w:ascii="Arial Rounded MT Bold" w:hAnsi="Arial Rounded MT Bold"/>
          <w:sz w:val="28"/>
          <w:szCs w:val="28"/>
        </w:rPr>
        <w:t>4</w:t>
      </w:r>
      <w:r w:rsidRPr="00DC0E4C">
        <w:rPr>
          <w:rFonts w:ascii="Arial Rounded MT Bold" w:hAnsi="Arial Rounded MT Bold"/>
          <w:sz w:val="28"/>
          <w:szCs w:val="28"/>
        </w:rPr>
        <w:tab/>
      </w:r>
      <w:r w:rsidR="00944ABE" w:rsidRPr="00DC0E4C">
        <w:rPr>
          <w:rFonts w:ascii="Arial Rounded MT Bold" w:hAnsi="Arial Rounded MT Bold"/>
          <w:sz w:val="28"/>
          <w:szCs w:val="28"/>
        </w:rPr>
        <w:t xml:space="preserve">How are expenses claimed?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4.1. Governors should claim expenses on a termly basis, unless the amount to be claimed is substantial and/or urgent.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4.2. Claims should be made using a claim form, and submitted to the office manager, via the </w:t>
      </w:r>
      <w:r w:rsidR="00EC4F83">
        <w:rPr>
          <w:rFonts w:ascii="Arial Rounded MT Bold" w:hAnsi="Arial Rounded MT Bold"/>
          <w:sz w:val="24"/>
          <w:szCs w:val="24"/>
        </w:rPr>
        <w:t>academy</w:t>
      </w:r>
      <w:r w:rsidRPr="000E536D">
        <w:rPr>
          <w:rFonts w:ascii="Arial Rounded MT Bold" w:hAnsi="Arial Rounded MT Bold"/>
          <w:sz w:val="24"/>
          <w:szCs w:val="24"/>
        </w:rPr>
        <w:t xml:space="preserve"> office.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>4.3. Any claims will not be reimbursed unle</w:t>
      </w:r>
      <w:r w:rsidR="00A95EAF">
        <w:rPr>
          <w:rFonts w:ascii="Arial Rounded MT Bold" w:hAnsi="Arial Rounded MT Bold"/>
          <w:sz w:val="24"/>
          <w:szCs w:val="24"/>
        </w:rPr>
        <w:t xml:space="preserve">ss authorised by the </w:t>
      </w:r>
      <w:r w:rsidR="00E84830">
        <w:rPr>
          <w:rFonts w:ascii="Arial Rounded MT Bold" w:hAnsi="Arial Rounded MT Bold"/>
          <w:sz w:val="24"/>
          <w:szCs w:val="24"/>
        </w:rPr>
        <w:t xml:space="preserve">Chair of Governors </w:t>
      </w:r>
      <w:r w:rsidR="00E84830">
        <w:rPr>
          <w:rFonts w:ascii="Arial Rounded MT Bold" w:hAnsi="Arial Rounded MT Bold"/>
          <w:b/>
          <w:sz w:val="24"/>
          <w:szCs w:val="24"/>
        </w:rPr>
        <w:t xml:space="preserve">or </w:t>
      </w:r>
      <w:r w:rsidR="00D90C5F">
        <w:rPr>
          <w:rFonts w:ascii="Arial Rounded MT Bold" w:hAnsi="Arial Rounded MT Bold"/>
          <w:sz w:val="24"/>
          <w:szCs w:val="24"/>
        </w:rPr>
        <w:t>Chair of t</w:t>
      </w:r>
      <w:r w:rsidR="00E84830">
        <w:rPr>
          <w:rFonts w:ascii="Arial Rounded MT Bold" w:hAnsi="Arial Rounded MT Bold"/>
          <w:sz w:val="24"/>
          <w:szCs w:val="24"/>
        </w:rPr>
        <w:t>he Trust.</w:t>
      </w:r>
      <w:r w:rsidRPr="000E536D">
        <w:rPr>
          <w:rFonts w:ascii="Arial Rounded MT Bold" w:hAnsi="Arial Rounded MT Bold"/>
          <w:sz w:val="24"/>
          <w:szCs w:val="24"/>
        </w:rPr>
        <w:t xml:space="preserve"> </w:t>
      </w:r>
    </w:p>
    <w:p w:rsidR="00D844E3" w:rsidRDefault="00944ABE" w:rsidP="000E536D">
      <w:pPr>
        <w:jc w:val="both"/>
        <w:rPr>
          <w:rFonts w:ascii="Arial Rounded MT Bold" w:hAnsi="Arial Rounded MT Bold"/>
          <w:sz w:val="24"/>
          <w:szCs w:val="24"/>
        </w:rPr>
      </w:pPr>
      <w:r w:rsidRPr="000E536D">
        <w:rPr>
          <w:rFonts w:ascii="Arial Rounded MT Bold" w:hAnsi="Arial Rounded MT Bold"/>
          <w:sz w:val="24"/>
          <w:szCs w:val="24"/>
        </w:rPr>
        <w:t xml:space="preserve">4.4. All claims will be subject to independent audit. If claims appear to be too frequent or excessive, the Chair of Governors may ask for further details. </w:t>
      </w:r>
    </w:p>
    <w:sectPr w:rsidR="00D844E3" w:rsidSect="005005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E"/>
    <w:rsid w:val="000E536D"/>
    <w:rsid w:val="001F23C8"/>
    <w:rsid w:val="00391185"/>
    <w:rsid w:val="003C6445"/>
    <w:rsid w:val="005005CE"/>
    <w:rsid w:val="00643C5A"/>
    <w:rsid w:val="00835E0A"/>
    <w:rsid w:val="009333D7"/>
    <w:rsid w:val="00944ABE"/>
    <w:rsid w:val="00A95EAF"/>
    <w:rsid w:val="00B07E0C"/>
    <w:rsid w:val="00B21E96"/>
    <w:rsid w:val="00CC6983"/>
    <w:rsid w:val="00D74155"/>
    <w:rsid w:val="00D77DBC"/>
    <w:rsid w:val="00D844E3"/>
    <w:rsid w:val="00D90C5F"/>
    <w:rsid w:val="00DC0E4C"/>
    <w:rsid w:val="00E84830"/>
    <w:rsid w:val="00EC4F83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B4B56-BD6D-441A-8375-4E92697C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C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C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90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7966150B</Template>
  <TotalTime>10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CATLING</dc:creator>
  <cp:keywords/>
  <dc:description/>
  <cp:lastModifiedBy>Kendal HINTON</cp:lastModifiedBy>
  <cp:revision>3</cp:revision>
  <cp:lastPrinted>2019-09-09T11:43:00Z</cp:lastPrinted>
  <dcterms:created xsi:type="dcterms:W3CDTF">2019-10-08T13:55:00Z</dcterms:created>
  <dcterms:modified xsi:type="dcterms:W3CDTF">2019-11-06T11:41:00Z</dcterms:modified>
</cp:coreProperties>
</file>