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9C" w:rsidRPr="0037629C" w:rsidRDefault="0037629C" w:rsidP="0037629C">
      <w:pPr>
        <w:widowControl w:val="0"/>
        <w:autoSpaceDE w:val="0"/>
        <w:autoSpaceDN w:val="0"/>
        <w:adjustRightInd w:val="0"/>
        <w:spacing w:after="0" w:line="240" w:lineRule="auto"/>
        <w:rPr>
          <w:rFonts w:ascii="Arial" w:eastAsiaTheme="minorEastAsia" w:hAnsi="Arial" w:cs="Arial"/>
          <w:b/>
          <w:bCs/>
          <w:sz w:val="71"/>
          <w:szCs w:val="71"/>
          <w:lang w:eastAsia="en-GB"/>
        </w:rPr>
      </w:pPr>
      <w:bookmarkStart w:id="0" w:name="_Toc277858145"/>
      <w:r>
        <w:rPr>
          <w:rFonts w:ascii="Verdana" w:hAnsi="Verdana"/>
          <w:b/>
          <w:sz w:val="20"/>
          <w:szCs w:val="20"/>
        </w:rPr>
        <w:tab/>
      </w:r>
      <w:r w:rsidRPr="0037629C">
        <w:rPr>
          <w:rFonts w:eastAsiaTheme="minorEastAsia"/>
          <w:noProof/>
          <w:lang w:eastAsia="en-GB"/>
        </w:rPr>
        <w:drawing>
          <wp:anchor distT="0" distB="0" distL="114300" distR="114300" simplePos="0" relativeHeight="251659264" behindDoc="0" locked="0" layoutInCell="1" allowOverlap="1" wp14:anchorId="7D3D44BC" wp14:editId="3282DDF4">
            <wp:simplePos x="0" y="0"/>
            <wp:positionH relativeFrom="column">
              <wp:posOffset>4371975</wp:posOffset>
            </wp:positionH>
            <wp:positionV relativeFrom="paragraph">
              <wp:posOffset>33655</wp:posOffset>
            </wp:positionV>
            <wp:extent cx="1324610" cy="1493520"/>
            <wp:effectExtent l="0" t="0" r="0" b="0"/>
            <wp:wrapNone/>
            <wp:docPr id="1" name="Picture 1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dg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4468" b="5705"/>
                    <a:stretch>
                      <a:fillRect/>
                    </a:stretch>
                  </pic:blipFill>
                  <pic:spPr bwMode="auto">
                    <a:xfrm>
                      <a:off x="0" y="0"/>
                      <a:ext cx="132461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29C" w:rsidRPr="0037629C" w:rsidRDefault="0037629C" w:rsidP="0037629C">
      <w:pPr>
        <w:widowControl w:val="0"/>
        <w:autoSpaceDE w:val="0"/>
        <w:autoSpaceDN w:val="0"/>
        <w:adjustRightInd w:val="0"/>
        <w:spacing w:after="0" w:line="240" w:lineRule="auto"/>
        <w:rPr>
          <w:rFonts w:ascii="Arial" w:eastAsiaTheme="minorEastAsia" w:hAnsi="Arial" w:cs="Arial"/>
          <w:b/>
          <w:bCs/>
          <w:sz w:val="71"/>
          <w:szCs w:val="71"/>
          <w:lang w:eastAsia="en-GB"/>
        </w:rPr>
      </w:pPr>
      <w:r w:rsidRPr="0037629C">
        <w:rPr>
          <w:rFonts w:ascii="Arial" w:eastAsiaTheme="minorEastAsia" w:hAnsi="Arial" w:cs="Arial"/>
          <w:b/>
          <w:bCs/>
          <w:sz w:val="71"/>
          <w:szCs w:val="71"/>
          <w:lang w:eastAsia="en-GB"/>
        </w:rPr>
        <w:t xml:space="preserve">                                  </w:t>
      </w:r>
    </w:p>
    <w:p w:rsidR="0037629C" w:rsidRPr="0037629C" w:rsidRDefault="0037629C" w:rsidP="0037629C">
      <w:pPr>
        <w:widowControl w:val="0"/>
        <w:autoSpaceDE w:val="0"/>
        <w:autoSpaceDN w:val="0"/>
        <w:adjustRightInd w:val="0"/>
        <w:spacing w:after="0" w:line="240" w:lineRule="auto"/>
        <w:rPr>
          <w:rFonts w:ascii="Arial" w:eastAsiaTheme="minorEastAsia" w:hAnsi="Arial" w:cs="Arial"/>
          <w:b/>
          <w:bCs/>
          <w:sz w:val="71"/>
          <w:szCs w:val="71"/>
          <w:lang w:eastAsia="en-GB"/>
        </w:rPr>
      </w:pPr>
    </w:p>
    <w:p w:rsidR="0037629C" w:rsidRPr="0037629C" w:rsidRDefault="0037629C" w:rsidP="0037629C">
      <w:pPr>
        <w:widowControl w:val="0"/>
        <w:autoSpaceDE w:val="0"/>
        <w:autoSpaceDN w:val="0"/>
        <w:adjustRightInd w:val="0"/>
        <w:spacing w:after="0" w:line="240" w:lineRule="auto"/>
        <w:rPr>
          <w:rFonts w:ascii="Arial" w:eastAsiaTheme="minorEastAsia" w:hAnsi="Arial" w:cs="Arial"/>
          <w:b/>
          <w:bCs/>
          <w:sz w:val="71"/>
          <w:szCs w:val="71"/>
          <w:lang w:eastAsia="en-GB"/>
        </w:rPr>
      </w:pPr>
    </w:p>
    <w:p w:rsidR="0037629C" w:rsidRPr="0037629C" w:rsidRDefault="0037629C" w:rsidP="0037629C">
      <w:pPr>
        <w:widowControl w:val="0"/>
        <w:autoSpaceDE w:val="0"/>
        <w:autoSpaceDN w:val="0"/>
        <w:adjustRightInd w:val="0"/>
        <w:spacing w:after="0" w:line="240" w:lineRule="auto"/>
        <w:rPr>
          <w:rFonts w:ascii="Arial" w:eastAsiaTheme="minorEastAsia" w:hAnsi="Arial" w:cs="Arial"/>
          <w:b/>
          <w:bCs/>
          <w:sz w:val="71"/>
          <w:szCs w:val="71"/>
          <w:lang w:eastAsia="en-GB"/>
        </w:rPr>
      </w:pPr>
    </w:p>
    <w:p w:rsidR="0037629C" w:rsidRPr="0037629C" w:rsidRDefault="0037629C" w:rsidP="0037629C">
      <w:pPr>
        <w:widowControl w:val="0"/>
        <w:autoSpaceDE w:val="0"/>
        <w:autoSpaceDN w:val="0"/>
        <w:adjustRightInd w:val="0"/>
        <w:spacing w:after="0" w:line="240" w:lineRule="auto"/>
        <w:rPr>
          <w:rFonts w:ascii="Arial" w:eastAsiaTheme="minorEastAsia" w:hAnsi="Arial" w:cs="Arial"/>
          <w:b/>
          <w:bCs/>
          <w:sz w:val="71"/>
          <w:szCs w:val="71"/>
          <w:lang w:eastAsia="en-GB"/>
        </w:rPr>
      </w:pPr>
    </w:p>
    <w:p w:rsidR="0037629C" w:rsidRPr="0037629C" w:rsidRDefault="0037629C" w:rsidP="0037629C">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r w:rsidRPr="0037629C">
        <w:rPr>
          <w:rFonts w:ascii="Arial" w:eastAsiaTheme="minorEastAsia" w:hAnsi="Arial" w:cs="Arial"/>
          <w:b/>
          <w:bCs/>
          <w:sz w:val="71"/>
          <w:szCs w:val="71"/>
          <w:lang w:eastAsia="en-GB"/>
        </w:rPr>
        <w:t>Shevington High School</w:t>
      </w:r>
    </w:p>
    <w:p w:rsidR="0037629C" w:rsidRPr="0037629C" w:rsidRDefault="0037629C" w:rsidP="0037629C">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sectPr w:rsidR="0037629C" w:rsidRPr="0037629C">
          <w:pgSz w:w="11900" w:h="16840"/>
          <w:pgMar w:top="1440" w:right="1800" w:bottom="739" w:left="1780" w:header="720" w:footer="720" w:gutter="0"/>
          <w:cols w:space="720" w:equalWidth="0">
            <w:col w:w="8320"/>
          </w:cols>
          <w:noEndnote/>
        </w:sectPr>
      </w:pPr>
    </w:p>
    <w:p w:rsidR="0037629C" w:rsidRPr="0037629C" w:rsidRDefault="0037629C" w:rsidP="0037629C">
      <w:pPr>
        <w:widowControl w:val="0"/>
        <w:autoSpaceDE w:val="0"/>
        <w:autoSpaceDN w:val="0"/>
        <w:adjustRightInd w:val="0"/>
        <w:spacing w:after="0" w:line="111" w:lineRule="exact"/>
        <w:rPr>
          <w:rFonts w:ascii="Times New Roman" w:eastAsiaTheme="minorEastAsia" w:hAnsi="Times New Roman" w:cs="Times New Roman"/>
          <w:sz w:val="24"/>
          <w:szCs w:val="24"/>
          <w:lang w:eastAsia="en-GB"/>
        </w:rPr>
      </w:pPr>
    </w:p>
    <w:p w:rsidR="0037629C" w:rsidRDefault="0037629C" w:rsidP="0037629C">
      <w:pPr>
        <w:widowControl w:val="0"/>
        <w:autoSpaceDE w:val="0"/>
        <w:autoSpaceDN w:val="0"/>
        <w:adjustRightInd w:val="0"/>
        <w:spacing w:after="0" w:line="240" w:lineRule="auto"/>
        <w:ind w:left="580"/>
        <w:jc w:val="center"/>
        <w:rPr>
          <w:rFonts w:ascii="Arial" w:eastAsiaTheme="minorEastAsia" w:hAnsi="Arial" w:cs="Arial"/>
          <w:b/>
          <w:bCs/>
          <w:sz w:val="56"/>
          <w:szCs w:val="56"/>
          <w:lang w:eastAsia="en-GB"/>
        </w:rPr>
      </w:pPr>
      <w:r>
        <w:rPr>
          <w:rFonts w:ascii="Arial" w:eastAsiaTheme="minorEastAsia" w:hAnsi="Arial" w:cs="Arial"/>
          <w:b/>
          <w:bCs/>
          <w:sz w:val="56"/>
          <w:szCs w:val="56"/>
          <w:lang w:eastAsia="en-GB"/>
        </w:rPr>
        <w:t>Data Protection</w:t>
      </w:r>
    </w:p>
    <w:p w:rsidR="0037629C" w:rsidRPr="0037629C" w:rsidRDefault="0037629C" w:rsidP="0037629C">
      <w:pPr>
        <w:widowControl w:val="0"/>
        <w:autoSpaceDE w:val="0"/>
        <w:autoSpaceDN w:val="0"/>
        <w:adjustRightInd w:val="0"/>
        <w:spacing w:after="0" w:line="240" w:lineRule="auto"/>
        <w:ind w:left="580"/>
        <w:jc w:val="center"/>
        <w:rPr>
          <w:rFonts w:ascii="Times New Roman" w:eastAsiaTheme="minorEastAsia" w:hAnsi="Times New Roman" w:cs="Times New Roman"/>
          <w:sz w:val="24"/>
          <w:szCs w:val="24"/>
          <w:lang w:eastAsia="en-GB"/>
        </w:rPr>
      </w:pPr>
      <w:r>
        <w:rPr>
          <w:rFonts w:ascii="Arial" w:eastAsiaTheme="minorEastAsia" w:hAnsi="Arial" w:cs="Arial"/>
          <w:b/>
          <w:bCs/>
          <w:sz w:val="56"/>
          <w:szCs w:val="56"/>
          <w:lang w:eastAsia="en-GB"/>
        </w:rPr>
        <w:t>Policy</w:t>
      </w: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00"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376"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40" w:lineRule="auto"/>
        <w:ind w:left="1600"/>
        <w:rPr>
          <w:rFonts w:ascii="Times New Roman" w:eastAsiaTheme="minorEastAsia" w:hAnsi="Times New Roman" w:cs="Times New Roman"/>
          <w:sz w:val="24"/>
          <w:szCs w:val="24"/>
          <w:lang w:eastAsia="en-GB"/>
        </w:rPr>
      </w:pPr>
      <w:r w:rsidRPr="0037629C">
        <w:rPr>
          <w:rFonts w:ascii="Calibri" w:eastAsiaTheme="minorEastAsia" w:hAnsi="Calibri" w:cs="Calibri"/>
          <w:b/>
          <w:bCs/>
          <w:color w:val="FF0000"/>
          <w:sz w:val="28"/>
          <w:szCs w:val="28"/>
          <w:lang w:eastAsia="en-GB"/>
        </w:rPr>
        <w:t>SHEVINGTON HIGH SCHOOL</w:t>
      </w:r>
    </w:p>
    <w:p w:rsidR="0037629C" w:rsidRPr="0037629C" w:rsidRDefault="0037629C" w:rsidP="0037629C">
      <w:pPr>
        <w:widowControl w:val="0"/>
        <w:autoSpaceDE w:val="0"/>
        <w:autoSpaceDN w:val="0"/>
        <w:adjustRightInd w:val="0"/>
        <w:spacing w:after="0" w:line="4"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40" w:lineRule="auto"/>
        <w:ind w:left="2220"/>
        <w:rPr>
          <w:rFonts w:ascii="Times New Roman" w:eastAsiaTheme="minorEastAsia" w:hAnsi="Times New Roman" w:cs="Times New Roman"/>
          <w:sz w:val="24"/>
          <w:szCs w:val="24"/>
          <w:lang w:eastAsia="en-GB"/>
        </w:rPr>
      </w:pPr>
      <w:proofErr w:type="spellStart"/>
      <w:r w:rsidRPr="0037629C">
        <w:rPr>
          <w:rFonts w:ascii="Calibri" w:eastAsiaTheme="minorEastAsia" w:hAnsi="Calibri" w:cs="Calibri"/>
          <w:sz w:val="20"/>
          <w:szCs w:val="20"/>
          <w:lang w:eastAsia="en-GB"/>
        </w:rPr>
        <w:t>Headteacher</w:t>
      </w:r>
      <w:proofErr w:type="spellEnd"/>
      <w:r w:rsidRPr="0037629C">
        <w:rPr>
          <w:rFonts w:ascii="Calibri" w:eastAsiaTheme="minorEastAsia" w:hAnsi="Calibri" w:cs="Calibri"/>
          <w:sz w:val="20"/>
          <w:szCs w:val="20"/>
          <w:lang w:eastAsia="en-GB"/>
        </w:rPr>
        <w:t>: Mr J Grant</w:t>
      </w:r>
    </w:p>
    <w:p w:rsidR="0037629C" w:rsidRPr="0037629C" w:rsidRDefault="0037629C" w:rsidP="0037629C">
      <w:pPr>
        <w:widowControl w:val="0"/>
        <w:autoSpaceDE w:val="0"/>
        <w:autoSpaceDN w:val="0"/>
        <w:adjustRightInd w:val="0"/>
        <w:spacing w:after="0" w:line="1"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40" w:lineRule="auto"/>
        <w:ind w:left="1300"/>
        <w:rPr>
          <w:rFonts w:ascii="Times New Roman" w:eastAsiaTheme="minorEastAsia" w:hAnsi="Times New Roman" w:cs="Times New Roman"/>
          <w:sz w:val="24"/>
          <w:szCs w:val="24"/>
          <w:lang w:eastAsia="en-GB"/>
        </w:rPr>
      </w:pPr>
      <w:r w:rsidRPr="0037629C">
        <w:rPr>
          <w:rFonts w:ascii="Calibri" w:eastAsiaTheme="minorEastAsia" w:hAnsi="Calibri" w:cs="Calibri"/>
          <w:sz w:val="20"/>
          <w:szCs w:val="20"/>
          <w:lang w:eastAsia="en-GB"/>
        </w:rPr>
        <w:t>Shevington Lane, Shevington, Wigan, WN6 8AB</w:t>
      </w:r>
    </w:p>
    <w:p w:rsidR="0037629C" w:rsidRPr="0037629C" w:rsidRDefault="0037629C" w:rsidP="0037629C">
      <w:pPr>
        <w:widowControl w:val="0"/>
        <w:autoSpaceDE w:val="0"/>
        <w:autoSpaceDN w:val="0"/>
        <w:adjustRightInd w:val="0"/>
        <w:spacing w:after="0" w:line="1"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r w:rsidRPr="0037629C">
        <w:rPr>
          <w:rFonts w:ascii="Calibri" w:eastAsiaTheme="minorEastAsia" w:hAnsi="Calibri" w:cs="Calibri"/>
          <w:sz w:val="20"/>
          <w:szCs w:val="20"/>
          <w:lang w:eastAsia="en-GB"/>
        </w:rPr>
        <w:t xml:space="preserve">                                                      Tel: 01257 400990</w:t>
      </w:r>
    </w:p>
    <w:p w:rsidR="0037629C" w:rsidRPr="0037629C" w:rsidRDefault="0037629C" w:rsidP="0037629C">
      <w:pPr>
        <w:widowControl w:val="0"/>
        <w:autoSpaceDE w:val="0"/>
        <w:autoSpaceDN w:val="0"/>
        <w:adjustRightInd w:val="0"/>
        <w:spacing w:after="0" w:line="1" w:lineRule="exact"/>
        <w:rPr>
          <w:rFonts w:ascii="Times New Roman" w:eastAsiaTheme="minorEastAsia" w:hAnsi="Times New Roman" w:cs="Times New Roman"/>
          <w:sz w:val="24"/>
          <w:szCs w:val="24"/>
          <w:lang w:eastAsia="en-GB"/>
        </w:rPr>
      </w:pPr>
    </w:p>
    <w:p w:rsidR="0037629C" w:rsidRPr="0037629C" w:rsidRDefault="0037629C" w:rsidP="0037629C">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sectPr w:rsidR="0037629C" w:rsidRPr="0037629C" w:rsidSect="0037629C">
          <w:type w:val="continuous"/>
          <w:pgSz w:w="11900" w:h="16840"/>
          <w:pgMar w:top="1440" w:right="1977" w:bottom="739" w:left="1985" w:header="720" w:footer="720" w:gutter="0"/>
          <w:cols w:space="720" w:equalWidth="0">
            <w:col w:w="6440"/>
          </w:cols>
          <w:noEndnote/>
        </w:sectPr>
      </w:pPr>
      <w:r w:rsidRPr="0037629C">
        <w:rPr>
          <w:rFonts w:ascii="Calibri" w:eastAsiaTheme="minorEastAsia" w:hAnsi="Calibri" w:cs="Calibri"/>
          <w:sz w:val="20"/>
          <w:szCs w:val="20"/>
          <w:lang w:eastAsia="en-GB"/>
        </w:rPr>
        <w:t xml:space="preserve">Website: </w:t>
      </w:r>
      <w:r w:rsidRPr="0037629C">
        <w:rPr>
          <w:rFonts w:ascii="Calibri" w:eastAsiaTheme="minorEastAsia" w:hAnsi="Calibri" w:cs="Calibri"/>
          <w:color w:val="0000FF"/>
          <w:sz w:val="20"/>
          <w:szCs w:val="20"/>
          <w:u w:val="single"/>
          <w:lang w:eastAsia="en-GB"/>
        </w:rPr>
        <w:t>www.shevingtonhigh.org.uk</w:t>
      </w:r>
      <w:r w:rsidRPr="0037629C">
        <w:rPr>
          <w:rFonts w:ascii="Calibri" w:eastAsiaTheme="minorEastAsia" w:hAnsi="Calibri" w:cs="Calibri"/>
          <w:sz w:val="20"/>
          <w:szCs w:val="20"/>
          <w:lang w:eastAsia="en-GB"/>
        </w:rPr>
        <w:t xml:space="preserve"> Email: </w:t>
      </w:r>
      <w:r w:rsidRPr="0037629C">
        <w:rPr>
          <w:rFonts w:ascii="Calibri" w:eastAsiaTheme="minorEastAsia" w:hAnsi="Calibri" w:cs="Calibri"/>
          <w:color w:val="0000FF"/>
          <w:sz w:val="20"/>
          <w:szCs w:val="20"/>
          <w:u w:val="single"/>
          <w:lang w:eastAsia="en-GB"/>
        </w:rPr>
        <w:t>enquiries@shevingtonhigh.org.uk</w:t>
      </w:r>
    </w:p>
    <w:p w:rsidR="0037629C" w:rsidRDefault="0037629C">
      <w:pPr>
        <w:rPr>
          <w:rFonts w:ascii="Verdana" w:hAnsi="Verdana"/>
          <w:b/>
          <w:sz w:val="20"/>
          <w:szCs w:val="20"/>
        </w:rPr>
      </w:pPr>
    </w:p>
    <w:p w:rsidR="00551782" w:rsidRPr="00551782" w:rsidRDefault="00551782" w:rsidP="00551782">
      <w:pPr>
        <w:jc w:val="center"/>
        <w:rPr>
          <w:rFonts w:ascii="Verdana" w:hAnsi="Verdana"/>
          <w:b/>
          <w:sz w:val="20"/>
          <w:szCs w:val="20"/>
        </w:rPr>
      </w:pPr>
      <w:r w:rsidRPr="00551782">
        <w:rPr>
          <w:rFonts w:ascii="Verdana" w:hAnsi="Verdana"/>
          <w:b/>
          <w:sz w:val="20"/>
          <w:szCs w:val="20"/>
        </w:rPr>
        <w:t>DATA PROTECTION POLICY</w:t>
      </w:r>
      <w:bookmarkEnd w:id="0"/>
    </w:p>
    <w:p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w:t>
      </w:r>
      <w:proofErr w:type="spellStart"/>
      <w:r w:rsidRPr="00551782">
        <w:rPr>
          <w:rFonts w:ascii="Verdana" w:hAnsi="Verdana"/>
          <w:sz w:val="20"/>
          <w:szCs w:val="20"/>
        </w:rPr>
        <w:t>pseudonymised</w:t>
      </w:r>
      <w:proofErr w:type="spellEnd"/>
      <w:r w:rsidRPr="00551782">
        <w:rPr>
          <w:rFonts w:ascii="Verdana" w:hAnsi="Verdana"/>
          <w:sz w:val="20"/>
          <w:szCs w:val="20"/>
        </w:rPr>
        <w:t xml:space="preserve"> personal data but excludes anonymous data or data that has had the identity of an individual permanently removed. </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rsidR="00551782" w:rsidRPr="00551782" w:rsidRDefault="00551782" w:rsidP="00551782">
      <w:pPr>
        <w:jc w:val="both"/>
        <w:rPr>
          <w:rFonts w:ascii="Verdana" w:hAnsi="Verdana"/>
          <w:sz w:val="20"/>
          <w:szCs w:val="20"/>
        </w:rPr>
      </w:pPr>
      <w:r w:rsidRPr="00551782">
        <w:rPr>
          <w:rFonts w:ascii="Verdana" w:hAnsi="Verdana"/>
          <w:sz w:val="20"/>
          <w:szCs w:val="20"/>
        </w:rPr>
        <w:lastRenderedPageBreak/>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rsidR="009503F6" w:rsidRDefault="009503F6" w:rsidP="00551782">
      <w:pPr>
        <w:jc w:val="both"/>
        <w:rPr>
          <w:rFonts w:ascii="Verdana" w:hAnsi="Verdana"/>
          <w:sz w:val="20"/>
          <w:szCs w:val="20"/>
        </w:rPr>
      </w:pPr>
      <w:r>
        <w:rPr>
          <w:rFonts w:ascii="Verdana" w:hAnsi="Verdana"/>
          <w:sz w:val="20"/>
          <w:szCs w:val="20"/>
        </w:rPr>
        <w:t>Criminal Records Information</w:t>
      </w:r>
    </w:p>
    <w:p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E26DA8">
        <w:rPr>
          <w:rFonts w:ascii="Verdana" w:hAnsi="Verdana"/>
          <w:sz w:val="20"/>
          <w:szCs w:val="20"/>
        </w:rPr>
        <w:t xml:space="preserve"> and related security measures.</w:t>
      </w:r>
    </w:p>
    <w:p w:rsidR="00E5144B" w:rsidRDefault="00E5144B" w:rsidP="00551782">
      <w:pPr>
        <w:jc w:val="both"/>
        <w:rPr>
          <w:rFonts w:ascii="Verdana" w:hAnsi="Verdana"/>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 -</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 xml:space="preserve">Personal data must be processed in a manner that ensures its security using appropriate technical and organisational measures to protect against </w:t>
      </w:r>
      <w:r w:rsidRPr="00551782">
        <w:rPr>
          <w:rFonts w:ascii="Verdana" w:hAnsi="Verdana"/>
          <w:bCs/>
          <w:sz w:val="20"/>
          <w:szCs w:val="20"/>
        </w:rPr>
        <w:lastRenderedPageBreak/>
        <w:t>unauthorised or unlawful processing and against accidental loss, destruction or damage.</w:t>
      </w:r>
    </w:p>
    <w:p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lastRenderedPageBreak/>
        <w:t>To perform a task in the substantial public interest or in order to carry out official functions as authorised by law;</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w:t>
      </w:r>
      <w:r w:rsidR="005602F2">
        <w:rPr>
          <w:rFonts w:ascii="Verdana" w:hAnsi="Verdana"/>
          <w:bCs/>
          <w:sz w:val="20"/>
          <w:szCs w:val="20"/>
        </w:rPr>
        <w:t>d</w:t>
      </w:r>
      <w:r w:rsidRPr="00551782">
        <w:rPr>
          <w:rFonts w:ascii="Verdana" w:hAnsi="Verdana"/>
          <w:bCs/>
          <w:sz w:val="20"/>
          <w:szCs w:val="20"/>
        </w:rPr>
        <w:t xml:space="preserve"> the data subject will be provided with full information in order to provide explicit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When personal data is no longer needed for specified purposes, the School shall delete or anonymise the data. [</w:t>
      </w:r>
      <w:r w:rsidRPr="00331080">
        <w:rPr>
          <w:rFonts w:ascii="Verdana" w:hAnsi="Verdana"/>
          <w:bCs/>
          <w:color w:val="5B9BD5" w:themeColor="accent1"/>
          <w:sz w:val="20"/>
          <w:szCs w:val="20"/>
        </w:rPr>
        <w:t>Please refer to the School’s Data Retention Policy for further guidance</w:t>
      </w:r>
      <w:r w:rsidRPr="00551782">
        <w:rPr>
          <w:rFonts w:ascii="Verdana" w:hAnsi="Verdana"/>
          <w:bCs/>
          <w:sz w:val="20"/>
          <w:szCs w:val="20"/>
        </w:rPr>
        <w:t>].</w:t>
      </w:r>
    </w:p>
    <w:p w:rsidR="00551782" w:rsidRPr="00551782" w:rsidRDefault="00551782" w:rsidP="00AE6B6D">
      <w:pPr>
        <w:keepNext/>
        <w:keepLines/>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rsidR="00551782" w:rsidRPr="00551782" w:rsidRDefault="00551782" w:rsidP="00AE6B6D">
      <w:pPr>
        <w:keepNext/>
        <w:keepLines/>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E53AAF" w:rsidRPr="00551782">
        <w:rPr>
          <w:rFonts w:ascii="Verdana" w:hAnsi="Verdana"/>
          <w:bCs/>
          <w:sz w:val="20"/>
          <w:szCs w:val="20"/>
        </w:rPr>
        <w:t xml:space="preserve"> </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rsidR="00551782" w:rsidRPr="00551782" w:rsidRDefault="00551782" w:rsidP="00551782">
      <w:pPr>
        <w:numPr>
          <w:ilvl w:val="0"/>
          <w:numId w:val="9"/>
        </w:numPr>
        <w:ind w:left="993" w:hanging="426"/>
        <w:jc w:val="both"/>
        <w:rPr>
          <w:rFonts w:ascii="Verdana" w:hAnsi="Verdana"/>
          <w:bCs/>
          <w:sz w:val="20"/>
          <w:szCs w:val="20"/>
        </w:rPr>
      </w:pPr>
      <w:proofErr w:type="spellStart"/>
      <w:r w:rsidRPr="00551782">
        <w:rPr>
          <w:rFonts w:ascii="Verdana" w:hAnsi="Verdana"/>
          <w:bCs/>
          <w:sz w:val="20"/>
          <w:szCs w:val="20"/>
        </w:rPr>
        <w:t>Pseudonymisation</w:t>
      </w:r>
      <w:proofErr w:type="spellEnd"/>
      <w:r w:rsidRPr="00551782">
        <w:rPr>
          <w:rFonts w:ascii="Verdana" w:hAnsi="Verdana"/>
          <w:bCs/>
          <w:sz w:val="20"/>
          <w:szCs w:val="20"/>
        </w:rPr>
        <w:t xml:space="preserve">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The School will only transfer personal data to third party service providers who agree to comply with the required policies and procedures and agree to put adequate measures in place.</w:t>
      </w:r>
    </w:p>
    <w:p w:rsidR="00551782" w:rsidRPr="00E53AAF" w:rsidRDefault="00E53AAF" w:rsidP="00551782">
      <w:pPr>
        <w:jc w:val="both"/>
        <w:rPr>
          <w:rFonts w:ascii="Verdana" w:hAnsi="Verdana"/>
          <w:bCs/>
          <w:color w:val="5B9BD5" w:themeColor="accent1"/>
          <w:sz w:val="20"/>
          <w:szCs w:val="20"/>
        </w:rPr>
      </w:pPr>
      <w:r>
        <w:rPr>
          <w:rFonts w:ascii="Verdana" w:hAnsi="Verdana"/>
          <w:bCs/>
          <w:sz w:val="20"/>
          <w:szCs w:val="20"/>
        </w:rPr>
        <w:t>[</w:t>
      </w:r>
      <w:r w:rsidR="00551782" w:rsidRPr="00E53AAF">
        <w:rPr>
          <w:rFonts w:ascii="Verdana" w:hAnsi="Verdana"/>
          <w:bCs/>
          <w:color w:val="5B9BD5" w:themeColor="accent1"/>
          <w:sz w:val="20"/>
          <w:szCs w:val="20"/>
        </w:rPr>
        <w:t>Full details on the School’s security measures are set out in the School’s Security Policy.</w:t>
      </w:r>
      <w:r w:rsidRPr="00E53AAF">
        <w:rPr>
          <w:rFonts w:ascii="Verdana" w:hAnsi="Verdana"/>
          <w:bCs/>
          <w:color w:val="000000" w:themeColor="text1"/>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w:t>
      </w:r>
      <w:proofErr w:type="gramStart"/>
      <w:r w:rsidRPr="00551782">
        <w:rPr>
          <w:rFonts w:ascii="Verdana" w:hAnsi="Verdana"/>
          <w:b/>
          <w:bCs/>
          <w:sz w:val="20"/>
          <w:szCs w:val="20"/>
        </w:rPr>
        <w:t>Outside</w:t>
      </w:r>
      <w:proofErr w:type="gramEnd"/>
      <w:r w:rsidRPr="00551782">
        <w:rPr>
          <w:rFonts w:ascii="Verdana" w:hAnsi="Verdana"/>
          <w:b/>
          <w:bCs/>
          <w:sz w:val="20"/>
          <w:szCs w:val="20"/>
        </w:rPr>
        <w:t xml:space="preserv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rsidR="00E5144B" w:rsidRPr="00551782" w:rsidRDefault="00E5144B" w:rsidP="00551782">
      <w:pPr>
        <w:jc w:val="both"/>
        <w:rPr>
          <w:rFonts w:ascii="Verdana" w:hAnsi="Verdana"/>
          <w:bCs/>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Receive certain information about the School’s processing activities;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rsidR="00551782" w:rsidRPr="00551782"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rsidR="00551782" w:rsidRPr="00551782" w:rsidRDefault="00551782" w:rsidP="00551782">
      <w:pPr>
        <w:jc w:val="both"/>
        <w:rPr>
          <w:rFonts w:ascii="Verdana" w:hAnsi="Verdana"/>
          <w:sz w:val="20"/>
          <w:szCs w:val="20"/>
        </w:rPr>
      </w:pPr>
      <w:r w:rsidRPr="00551782">
        <w:rPr>
          <w:rFonts w:ascii="Verdana" w:hAnsi="Verdana"/>
          <w:sz w:val="20"/>
          <w:szCs w:val="20"/>
        </w:rPr>
        <w:t>A Data Subject has the right to be informed by the School of the following: -</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Access to their personal data;</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rsidR="00551782" w:rsidRPr="00551782" w:rsidRDefault="00551782" w:rsidP="00551782">
      <w:pPr>
        <w:jc w:val="both"/>
        <w:rPr>
          <w:rFonts w:ascii="Verdana" w:hAnsi="Verdana"/>
          <w:sz w:val="20"/>
          <w:szCs w:val="20"/>
        </w:rPr>
      </w:pPr>
      <w:r w:rsidRPr="00551782">
        <w:rPr>
          <w:rFonts w:ascii="Verdana" w:hAnsi="Verdana"/>
          <w:sz w:val="20"/>
          <w:szCs w:val="20"/>
        </w:rPr>
        <w:t>Any Data Subject who wishes to obtain the above information must notify the School in writing of his or her request. This is known as a Data Subject Access Request.</w:t>
      </w:r>
    </w:p>
    <w:p w:rsidR="00551782" w:rsidRPr="00551782" w:rsidRDefault="00551782" w:rsidP="00551782">
      <w:pPr>
        <w:jc w:val="both"/>
        <w:rPr>
          <w:rFonts w:ascii="Verdana" w:hAnsi="Verdana"/>
          <w:sz w:val="20"/>
          <w:szCs w:val="20"/>
        </w:rPr>
      </w:pPr>
      <w:r w:rsidRPr="00551782">
        <w:rPr>
          <w:rFonts w:ascii="Verdana" w:hAnsi="Verdana"/>
          <w:sz w:val="20"/>
          <w:szCs w:val="20"/>
        </w:rPr>
        <w:lastRenderedPageBreak/>
        <w:t xml:space="preserve">The request should in the first instance be sent to </w:t>
      </w:r>
      <w:r w:rsidR="00550FF7">
        <w:rPr>
          <w:rFonts w:ascii="Verdana" w:hAnsi="Verdana"/>
          <w:sz w:val="20"/>
          <w:szCs w:val="20"/>
        </w:rPr>
        <w:t>the School Business Manager</w:t>
      </w:r>
      <w:r w:rsidRPr="00551782">
        <w:rPr>
          <w:rFonts w:ascii="Verdana" w:hAnsi="Verdana"/>
          <w:sz w:val="20"/>
          <w:szCs w:val="20"/>
        </w:rPr>
        <w:t xml:space="preserve">. </w:t>
      </w:r>
    </w:p>
    <w:p w:rsidR="00551782" w:rsidRPr="00551782" w:rsidRDefault="00551782" w:rsidP="00AE6B6D">
      <w:pPr>
        <w:keepNext/>
        <w:keepLines/>
        <w:jc w:val="both"/>
        <w:rPr>
          <w:rFonts w:ascii="Verdana" w:hAnsi="Verdana"/>
          <w:b/>
          <w:sz w:val="20"/>
          <w:szCs w:val="20"/>
        </w:rPr>
      </w:pPr>
      <w:r w:rsidRPr="00551782">
        <w:rPr>
          <w:rFonts w:ascii="Verdana" w:hAnsi="Verdana"/>
          <w:b/>
          <w:sz w:val="20"/>
          <w:szCs w:val="20"/>
        </w:rPr>
        <w:t>Direct Marketing</w:t>
      </w:r>
    </w:p>
    <w:p w:rsidR="00551782" w:rsidRPr="00551782" w:rsidRDefault="00551782" w:rsidP="00AE6B6D">
      <w:pPr>
        <w:keepNext/>
        <w:keepLines/>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 [</w:t>
      </w:r>
      <w:r w:rsidRPr="006D4E9C">
        <w:rPr>
          <w:rFonts w:ascii="Verdana" w:hAnsi="Verdana"/>
          <w:color w:val="5B9BD5" w:themeColor="accent1"/>
          <w:sz w:val="20"/>
          <w:szCs w:val="20"/>
        </w:rPr>
        <w:t>Please refer to the School’s Security Policy for further details about our security processes</w:t>
      </w:r>
      <w:r>
        <w:rPr>
          <w:rFonts w:ascii="Verdana" w:hAnsi="Verdana"/>
          <w:sz w:val="20"/>
          <w:szCs w:val="20"/>
        </w:rPr>
        <w:t>]);</w:t>
      </w:r>
    </w:p>
    <w:p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Not to remove personal data or devices containing personal data from the School premises unless appropriate security measures are in place (such as </w:t>
      </w:r>
      <w:proofErr w:type="spellStart"/>
      <w:r w:rsidR="00AE6B6D">
        <w:rPr>
          <w:rFonts w:ascii="Verdana" w:hAnsi="Verdana"/>
          <w:sz w:val="20"/>
          <w:szCs w:val="20"/>
        </w:rPr>
        <w:t>Pseudonymisation</w:t>
      </w:r>
      <w:proofErr w:type="spellEnd"/>
      <w:r>
        <w:rPr>
          <w:rFonts w:ascii="Verdana" w:hAnsi="Verdana"/>
          <w:sz w:val="20"/>
          <w:szCs w:val="20"/>
        </w:rPr>
        <w:t>, encryption, password protection) to secure the information;</w:t>
      </w:r>
    </w:p>
    <w:p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Data Protection Officer: Craig Stilwell</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 xml:space="preserve">Address: </w:t>
      </w:r>
      <w:proofErr w:type="spellStart"/>
      <w:r w:rsidRPr="00221D99">
        <w:rPr>
          <w:rFonts w:ascii="Verdana" w:hAnsi="Verdana"/>
          <w:sz w:val="20"/>
          <w:szCs w:val="20"/>
        </w:rPr>
        <w:t>Judicium</w:t>
      </w:r>
      <w:proofErr w:type="spellEnd"/>
      <w:r w:rsidRPr="00221D99">
        <w:rPr>
          <w:rFonts w:ascii="Verdana" w:hAnsi="Verdana"/>
          <w:sz w:val="20"/>
          <w:szCs w:val="20"/>
        </w:rPr>
        <w:t xml:space="preserve"> Consulting Ltd, 72 Cannon Street, London, EC4N 6AE</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 xml:space="preserve">Email: </w:t>
      </w:r>
      <w:hyperlink r:id="rId9" w:history="1">
        <w:r w:rsidRPr="00221D99">
          <w:rPr>
            <w:rFonts w:ascii="Verdana" w:hAnsi="Verdana"/>
            <w:sz w:val="20"/>
            <w:szCs w:val="20"/>
          </w:rPr>
          <w:t>dataservices@judicium.com</w:t>
        </w:r>
      </w:hyperlink>
    </w:p>
    <w:p w:rsidR="00E53AAF" w:rsidRDefault="00E53AAF" w:rsidP="00E53AAF">
      <w:pPr>
        <w:spacing w:after="0" w:line="240" w:lineRule="auto"/>
        <w:rPr>
          <w:rFonts w:ascii="Verdana" w:hAnsi="Verdana"/>
          <w:sz w:val="20"/>
          <w:szCs w:val="20"/>
        </w:rPr>
      </w:pPr>
      <w:r w:rsidRPr="00221D99">
        <w:rPr>
          <w:rFonts w:ascii="Verdana" w:hAnsi="Verdana"/>
          <w:sz w:val="20"/>
          <w:szCs w:val="20"/>
        </w:rPr>
        <w:t>Telephone: 0203 326 9174</w:t>
      </w:r>
    </w:p>
    <w:p w:rsidR="00E53AAF" w:rsidRDefault="00E53AAF" w:rsidP="00E53AAF">
      <w:pPr>
        <w:spacing w:after="0" w:line="240" w:lineRule="auto"/>
        <w:rPr>
          <w:rFonts w:ascii="Verdana" w:hAnsi="Verdana"/>
          <w:sz w:val="20"/>
          <w:szCs w:val="20"/>
        </w:rPr>
      </w:pP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lastRenderedPageBreak/>
        <w:t>If you are unsure of the lawful basis being relied on by the School to process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 [</w:t>
      </w:r>
      <w:r w:rsidRPr="00331080">
        <w:rPr>
          <w:rFonts w:ascii="Verdana" w:hAnsi="Verdana"/>
          <w:bCs/>
          <w:color w:val="5B9BD5" w:themeColor="accent1"/>
          <w:sz w:val="20"/>
          <w:szCs w:val="20"/>
        </w:rPr>
        <w:t>but would refer you to the School’s data retention policy in the first instance</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 [</w:t>
      </w:r>
      <w:r w:rsidRPr="00331080">
        <w:rPr>
          <w:rFonts w:ascii="Verdana" w:hAnsi="Verdana"/>
          <w:bCs/>
          <w:color w:val="5B9BD5" w:themeColor="accent1"/>
          <w:sz w:val="20"/>
          <w:szCs w:val="20"/>
        </w:rPr>
        <w:t>and would refer you to the procedure set out in the School’s breach notification policy</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(who is </w:t>
      </w:r>
      <w:r w:rsidR="00550FF7">
        <w:rPr>
          <w:rFonts w:ascii="Verdana" w:hAnsi="Verdana"/>
          <w:bCs/>
          <w:sz w:val="20"/>
          <w:szCs w:val="20"/>
        </w:rPr>
        <w:t>Mr D Meekin</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sidR="00E53AAF">
        <w:rPr>
          <w:rFonts w:ascii="Verdana" w:hAnsi="Verdana"/>
          <w:bCs/>
          <w:sz w:val="20"/>
          <w:szCs w:val="20"/>
        </w:rPr>
        <w:t>h the School’s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w:t>
      </w:r>
      <w:r w:rsidRPr="00551782">
        <w:rPr>
          <w:rFonts w:ascii="Verdana" w:hAnsi="Verdana"/>
          <w:bCs/>
          <w:sz w:val="20"/>
          <w:szCs w:val="20"/>
        </w:rPr>
        <w:lastRenderedPageBreak/>
        <w:t xml:space="preserve">School’s contact details, how and why we will use, process, disclose, protect and retain personal data. </w:t>
      </w:r>
    </w:p>
    <w:p w:rsidR="00551782" w:rsidRDefault="00551782" w:rsidP="00551782">
      <w:pPr>
        <w:jc w:val="both"/>
        <w:rPr>
          <w:rFonts w:ascii="Verdana" w:hAnsi="Verdana"/>
          <w:bCs/>
          <w:sz w:val="20"/>
          <w:szCs w:val="20"/>
        </w:rPr>
      </w:pPr>
      <w:r w:rsidRPr="00551782">
        <w:rPr>
          <w:rFonts w:ascii="Verdana" w:hAnsi="Verdana"/>
          <w:bCs/>
          <w:sz w:val="20"/>
          <w:szCs w:val="20"/>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rsidR="00551782" w:rsidRDefault="00184DDC" w:rsidP="00551782">
      <w:pPr>
        <w:jc w:val="both"/>
        <w:rPr>
          <w:rFonts w:ascii="Verdana" w:hAnsi="Verdana"/>
          <w:b/>
          <w:bCs/>
          <w:sz w:val="20"/>
          <w:szCs w:val="20"/>
        </w:rPr>
      </w:pPr>
      <w:r>
        <w:rPr>
          <w:rFonts w:ascii="Verdana" w:hAnsi="Verdana"/>
          <w:b/>
          <w:bCs/>
          <w:sz w:val="20"/>
          <w:szCs w:val="20"/>
        </w:rPr>
        <w:t xml:space="preserve">Privacy </w:t>
      </w:r>
      <w:r w:rsidR="00AE6B6D">
        <w:rPr>
          <w:rFonts w:ascii="Verdana" w:hAnsi="Verdana"/>
          <w:b/>
          <w:bCs/>
          <w:sz w:val="20"/>
          <w:szCs w:val="20"/>
        </w:rPr>
        <w:t>by</w:t>
      </w:r>
      <w:r>
        <w:rPr>
          <w:rFonts w:ascii="Verdana" w:hAnsi="Verdana"/>
          <w:b/>
          <w:bCs/>
          <w:sz w:val="20"/>
          <w:szCs w:val="20"/>
        </w:rPr>
        <w:t xml:space="preserve"> Design</w:t>
      </w:r>
    </w:p>
    <w:p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rsidR="00184DDC" w:rsidRDefault="00E5144B" w:rsidP="00551782">
      <w:pPr>
        <w:jc w:val="both"/>
        <w:rPr>
          <w:rFonts w:ascii="Verdana" w:hAnsi="Verdana"/>
          <w:bCs/>
          <w:sz w:val="20"/>
          <w:szCs w:val="20"/>
        </w:rPr>
      </w:pPr>
      <w:r>
        <w:rPr>
          <w:rFonts w:ascii="Verdana" w:hAnsi="Verdana"/>
          <w:bCs/>
          <w:sz w:val="20"/>
          <w:szCs w:val="20"/>
        </w:rPr>
        <w:t>Our DPIAs contain: -</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rsidR="00551782" w:rsidRDefault="00E5144B" w:rsidP="00551782">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lastRenderedPageBreak/>
        <w:t>Security measures in place.</w:t>
      </w:r>
    </w:p>
    <w:p w:rsidR="00962148" w:rsidRPr="00DE3FFE" w:rsidRDefault="00962148" w:rsidP="00AE6B6D">
      <w:pPr>
        <w:keepNext/>
        <w:keepLines/>
        <w:jc w:val="both"/>
        <w:rPr>
          <w:rFonts w:ascii="Verdana" w:hAnsi="Verdana"/>
          <w:b/>
          <w:bCs/>
          <w:sz w:val="20"/>
          <w:szCs w:val="20"/>
        </w:rPr>
      </w:pPr>
      <w:r w:rsidRPr="00DE3FFE">
        <w:rPr>
          <w:rFonts w:ascii="Verdana" w:hAnsi="Verdana"/>
          <w:b/>
          <w:bCs/>
          <w:sz w:val="20"/>
          <w:szCs w:val="20"/>
        </w:rPr>
        <w:t>Training</w:t>
      </w:r>
    </w:p>
    <w:p w:rsidR="00962148" w:rsidRDefault="00962148" w:rsidP="00AE6B6D">
      <w:pPr>
        <w:keepNext/>
        <w:keepLines/>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rsidR="00962148" w:rsidRDefault="00E53AAF" w:rsidP="00962148">
      <w:pPr>
        <w:jc w:val="both"/>
        <w:rPr>
          <w:rFonts w:ascii="Verdana" w:hAnsi="Verdana"/>
          <w:bCs/>
          <w:sz w:val="20"/>
          <w:szCs w:val="20"/>
        </w:rPr>
      </w:pPr>
      <w:r>
        <w:rPr>
          <w:rFonts w:ascii="Verdana" w:hAnsi="Verdana"/>
          <w:bCs/>
          <w:sz w:val="20"/>
          <w:szCs w:val="20"/>
        </w:rPr>
        <w:t xml:space="preserve">The School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rsidR="00331080"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rsidR="00E53AAF" w:rsidRP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 xml:space="preserve">These policies are also designed to protect personal data and can be found at </w:t>
      </w:r>
      <w:r w:rsidR="00E415A2">
        <w:rPr>
          <w:rFonts w:ascii="Verdana" w:hAnsi="Verdana"/>
          <w:sz w:val="20"/>
          <w:szCs w:val="20"/>
        </w:rPr>
        <w:t>www.shevingtonhigh.org.uk</w:t>
      </w:r>
      <w:bookmarkStart w:id="1" w:name="_GoBack"/>
      <w:bookmarkEnd w:id="1"/>
      <w:r>
        <w:rPr>
          <w:rFonts w:ascii="Verdana" w:hAnsi="Verdana"/>
          <w:sz w:val="20"/>
          <w:szCs w:val="20"/>
        </w:rPr>
        <w:t xml:space="preserve">. </w:t>
      </w:r>
    </w:p>
    <w:p w:rsidR="00551782" w:rsidRPr="00551782" w:rsidRDefault="00551782" w:rsidP="00551782">
      <w:pPr>
        <w:jc w:val="both"/>
        <w:rPr>
          <w:rFonts w:ascii="Verdana" w:hAnsi="Verdana"/>
          <w:b/>
          <w:bCs/>
          <w:color w:val="5B9BD5" w:themeColor="accent1"/>
          <w:sz w:val="20"/>
          <w:szCs w:val="20"/>
          <w:u w:val="single"/>
        </w:rPr>
      </w:pPr>
      <w:r w:rsidRPr="00551782">
        <w:rPr>
          <w:rFonts w:ascii="Verdana" w:hAnsi="Verdana"/>
          <w:b/>
          <w:bCs/>
          <w:color w:val="5B9BD5" w:themeColor="accent1"/>
          <w:sz w:val="20"/>
          <w:szCs w:val="20"/>
          <w:u w:val="single"/>
        </w:rPr>
        <w:t>S</w:t>
      </w:r>
      <w:r w:rsidR="00E53AAF">
        <w:rPr>
          <w:rFonts w:ascii="Verdana" w:hAnsi="Verdana"/>
          <w:b/>
          <w:bCs/>
          <w:color w:val="5B9BD5" w:themeColor="accent1"/>
          <w:sz w:val="20"/>
          <w:szCs w:val="20"/>
          <w:u w:val="single"/>
        </w:rPr>
        <w:t>ECTION 5</w:t>
      </w:r>
      <w:r w:rsidRPr="00551782">
        <w:rPr>
          <w:rFonts w:ascii="Verdana" w:hAnsi="Verdana"/>
          <w:b/>
          <w:bCs/>
          <w:color w:val="5B9BD5" w:themeColor="accent1"/>
          <w:sz w:val="20"/>
          <w:szCs w:val="20"/>
          <w:u w:val="single"/>
        </w:rPr>
        <w:t xml:space="preserve"> - AUTOMATED PROCESSING AND AUTOMATED DECISION MAKING</w:t>
      </w:r>
    </w:p>
    <w:p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Generally automated decision making is prohibited when a decision has a legal or similar significant effect on an individual unless:</w:t>
      </w:r>
    </w:p>
    <w:p w:rsidR="00551782" w:rsidRPr="00551782" w:rsidRDefault="00551782" w:rsidP="00551782">
      <w:pPr>
        <w:numPr>
          <w:ilvl w:val="0"/>
          <w:numId w:val="3"/>
        </w:numPr>
        <w:ind w:hanging="513"/>
        <w:jc w:val="both"/>
        <w:rPr>
          <w:rFonts w:ascii="Verdana" w:hAnsi="Verdana"/>
          <w:color w:val="5B9BD5" w:themeColor="accent1"/>
          <w:sz w:val="20"/>
          <w:szCs w:val="20"/>
        </w:rPr>
      </w:pPr>
      <w:r w:rsidRPr="00551782">
        <w:rPr>
          <w:rFonts w:ascii="Verdana" w:hAnsi="Verdana"/>
          <w:bCs/>
          <w:color w:val="5B9BD5" w:themeColor="accent1"/>
          <w:sz w:val="20"/>
          <w:szCs w:val="20"/>
        </w:rPr>
        <w:t>The data subject has given explicit consent;</w:t>
      </w:r>
    </w:p>
    <w:p w:rsidR="00551782" w:rsidRPr="00551782" w:rsidRDefault="00551782" w:rsidP="00551782">
      <w:pPr>
        <w:numPr>
          <w:ilvl w:val="0"/>
          <w:numId w:val="3"/>
        </w:numPr>
        <w:ind w:hanging="513"/>
        <w:jc w:val="both"/>
        <w:rPr>
          <w:rFonts w:ascii="Verdana" w:hAnsi="Verdana"/>
          <w:color w:val="5B9BD5" w:themeColor="accent1"/>
          <w:sz w:val="20"/>
          <w:szCs w:val="20"/>
        </w:rPr>
      </w:pPr>
      <w:r w:rsidRPr="00551782">
        <w:rPr>
          <w:rFonts w:ascii="Verdana" w:hAnsi="Verdana"/>
          <w:bCs/>
          <w:color w:val="5B9BD5" w:themeColor="accent1"/>
          <w:sz w:val="20"/>
          <w:szCs w:val="20"/>
        </w:rPr>
        <w:t xml:space="preserve">The processing is authorised by law; or </w:t>
      </w:r>
    </w:p>
    <w:p w:rsidR="00551782" w:rsidRPr="00551782" w:rsidRDefault="00551782" w:rsidP="00551782">
      <w:pPr>
        <w:numPr>
          <w:ilvl w:val="0"/>
          <w:numId w:val="3"/>
        </w:numPr>
        <w:ind w:hanging="513"/>
        <w:jc w:val="both"/>
        <w:rPr>
          <w:rFonts w:ascii="Verdana" w:hAnsi="Verdana"/>
          <w:color w:val="5B9BD5" w:themeColor="accent1"/>
          <w:sz w:val="20"/>
          <w:szCs w:val="20"/>
        </w:rPr>
      </w:pPr>
      <w:r w:rsidRPr="00551782">
        <w:rPr>
          <w:rFonts w:ascii="Verdana" w:hAnsi="Verdana"/>
          <w:bCs/>
          <w:color w:val="5B9BD5" w:themeColor="accent1"/>
          <w:sz w:val="20"/>
          <w:szCs w:val="20"/>
        </w:rPr>
        <w:t>The processing is necessary for the performance of or entering into a contract.</w:t>
      </w:r>
    </w:p>
    <w:p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If certain types of sensitive data are being processed, then (b) or (c) above will not be allowed unless it is necessary for the substantial public interest (for example fraud prevention).</w:t>
      </w:r>
    </w:p>
    <w:p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rsidR="00551782" w:rsidRDefault="00551782">
      <w:pPr>
        <w:jc w:val="both"/>
        <w:rPr>
          <w:rFonts w:ascii="Verdana" w:hAnsi="Verdana"/>
          <w:bCs/>
          <w:color w:val="5B9BD5" w:themeColor="accent1"/>
          <w:sz w:val="20"/>
          <w:szCs w:val="20"/>
        </w:rPr>
      </w:pPr>
      <w:r w:rsidRPr="00551782">
        <w:rPr>
          <w:rFonts w:ascii="Verdana" w:hAnsi="Verdana"/>
          <w:bCs/>
          <w:color w:val="5B9BD5" w:themeColor="accent1"/>
          <w:sz w:val="20"/>
          <w:szCs w:val="20"/>
        </w:rPr>
        <w:t>The School will carry out a data protection impact assessment before any automated processing or automated decision making activities are undertaken.</w:t>
      </w:r>
    </w:p>
    <w:p w:rsidR="00550FF7" w:rsidRDefault="00550FF7">
      <w:pPr>
        <w:jc w:val="both"/>
        <w:rPr>
          <w:rFonts w:ascii="Verdana" w:hAnsi="Verdana"/>
          <w:b/>
          <w:bCs/>
          <w:color w:val="000000" w:themeColor="text1"/>
          <w:sz w:val="20"/>
          <w:szCs w:val="20"/>
        </w:rPr>
      </w:pPr>
    </w:p>
    <w:p w:rsidR="00550FF7" w:rsidRDefault="00550FF7">
      <w:pPr>
        <w:jc w:val="both"/>
        <w:rPr>
          <w:rFonts w:ascii="Verdana" w:hAnsi="Verdana"/>
          <w:b/>
          <w:bCs/>
          <w:color w:val="000000" w:themeColor="text1"/>
          <w:sz w:val="20"/>
          <w:szCs w:val="20"/>
        </w:rPr>
      </w:pPr>
    </w:p>
    <w:p w:rsidR="00550FF7" w:rsidRDefault="00E415A2">
      <w:pPr>
        <w:jc w:val="both"/>
        <w:rPr>
          <w:rFonts w:ascii="Verdana" w:hAnsi="Verdana"/>
          <w:b/>
          <w:bCs/>
          <w:color w:val="000000" w:themeColor="text1"/>
          <w:sz w:val="20"/>
          <w:szCs w:val="20"/>
        </w:rPr>
      </w:pPr>
      <w:r>
        <w:rPr>
          <w:rFonts w:ascii="Verdana" w:hAnsi="Verdana"/>
          <w:sz w:val="20"/>
          <w:szCs w:val="20"/>
        </w:rPr>
        <w:lastRenderedPageBreak/>
        <w:t>School Business Manager</w:t>
      </w:r>
      <w:r w:rsidRPr="00776F4F">
        <w:rPr>
          <w:rFonts w:ascii="Verdana" w:hAnsi="Verdana"/>
          <w:b/>
          <w:bCs/>
          <w:color w:val="000000" w:themeColor="text1"/>
          <w:sz w:val="20"/>
          <w:szCs w:val="20"/>
        </w:rPr>
        <w:t xml:space="preserve"> </w:t>
      </w:r>
      <w:r w:rsidR="00776F4F" w:rsidRPr="00776F4F">
        <w:rPr>
          <w:rFonts w:ascii="Verdana" w:hAnsi="Verdana"/>
          <w:b/>
          <w:bCs/>
          <w:color w:val="000000" w:themeColor="text1"/>
          <w:sz w:val="20"/>
          <w:szCs w:val="20"/>
        </w:rPr>
        <w:t>Monitoring</w:t>
      </w:r>
    </w:p>
    <w:p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rsidR="00776F4F" w:rsidRPr="00776F4F" w:rsidRDefault="00776F4F">
      <w:pPr>
        <w:jc w:val="both"/>
        <w:rPr>
          <w:rFonts w:ascii="Verdana" w:hAnsi="Verdana"/>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sectPr w:rsidR="00776F4F" w:rsidRPr="00776F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5AB" w:rsidRDefault="00C245AB" w:rsidP="005426C7">
      <w:pPr>
        <w:spacing w:after="0" w:line="240" w:lineRule="auto"/>
      </w:pPr>
      <w:r>
        <w:separator/>
      </w:r>
    </w:p>
  </w:endnote>
  <w:endnote w:type="continuationSeparator" w:id="0">
    <w:p w:rsidR="00C245AB" w:rsidRDefault="00C245AB" w:rsidP="005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717748"/>
      <w:docPartObj>
        <w:docPartGallery w:val="Page Numbers (Bottom of Page)"/>
        <w:docPartUnique/>
      </w:docPartObj>
    </w:sdtPr>
    <w:sdtEndPr>
      <w:rPr>
        <w:noProof/>
      </w:rPr>
    </w:sdtEndPr>
    <w:sdtContent>
      <w:p w:rsidR="005426C7" w:rsidRDefault="005426C7">
        <w:pPr>
          <w:pStyle w:val="Footer"/>
          <w:jc w:val="center"/>
        </w:pPr>
        <w:r>
          <w:fldChar w:fldCharType="begin"/>
        </w:r>
        <w:r>
          <w:instrText xml:space="preserve"> PAGE   \* MERGEFORMAT </w:instrText>
        </w:r>
        <w:r>
          <w:fldChar w:fldCharType="separate"/>
        </w:r>
        <w:r w:rsidR="00E415A2">
          <w:rPr>
            <w:noProof/>
          </w:rPr>
          <w:t>13</w:t>
        </w:r>
        <w:r>
          <w:rPr>
            <w:noProof/>
          </w:rPr>
          <w:fldChar w:fldCharType="end"/>
        </w:r>
      </w:p>
    </w:sdtContent>
  </w:sdt>
  <w:p w:rsidR="005426C7" w:rsidRDefault="00542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5AB" w:rsidRDefault="00C245AB" w:rsidP="005426C7">
      <w:pPr>
        <w:spacing w:after="0" w:line="240" w:lineRule="auto"/>
      </w:pPr>
      <w:r>
        <w:separator/>
      </w:r>
    </w:p>
  </w:footnote>
  <w:footnote w:type="continuationSeparator" w:id="0">
    <w:p w:rsidR="00C245AB" w:rsidRDefault="00C245AB" w:rsidP="00542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010FD9"/>
    <w:rsid w:val="00184DDC"/>
    <w:rsid w:val="001D32A6"/>
    <w:rsid w:val="00210203"/>
    <w:rsid w:val="00331080"/>
    <w:rsid w:val="00341E80"/>
    <w:rsid w:val="0037629C"/>
    <w:rsid w:val="005426C7"/>
    <w:rsid w:val="00550FF7"/>
    <w:rsid w:val="00551782"/>
    <w:rsid w:val="005602F2"/>
    <w:rsid w:val="006D4E9C"/>
    <w:rsid w:val="00776F4F"/>
    <w:rsid w:val="00787EA3"/>
    <w:rsid w:val="007C0DBD"/>
    <w:rsid w:val="007D1F66"/>
    <w:rsid w:val="009477F9"/>
    <w:rsid w:val="009503F6"/>
    <w:rsid w:val="0095626C"/>
    <w:rsid w:val="00962148"/>
    <w:rsid w:val="00AE6B6D"/>
    <w:rsid w:val="00C245AB"/>
    <w:rsid w:val="00DE3FFE"/>
    <w:rsid w:val="00E26DA8"/>
    <w:rsid w:val="00E415A2"/>
    <w:rsid w:val="00E5144B"/>
    <w:rsid w:val="00E53AAF"/>
    <w:rsid w:val="00F13458"/>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54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C7"/>
  </w:style>
  <w:style w:type="paragraph" w:styleId="Footer">
    <w:name w:val="footer"/>
    <w:basedOn w:val="Normal"/>
    <w:link w:val="FooterChar"/>
    <w:uiPriority w:val="99"/>
    <w:unhideWhenUsed/>
    <w:rsid w:val="0054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AB59-2421-414E-9FB8-6C2A2730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Meekin</cp:lastModifiedBy>
  <cp:revision>4</cp:revision>
  <cp:lastPrinted>2018-02-26T15:25:00Z</cp:lastPrinted>
  <dcterms:created xsi:type="dcterms:W3CDTF">2018-05-30T10:05:00Z</dcterms:created>
  <dcterms:modified xsi:type="dcterms:W3CDTF">2018-05-30T10:55:00Z</dcterms:modified>
</cp:coreProperties>
</file>