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CE" w:rsidRDefault="00FB25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5CE" w:rsidRDefault="00C76077" w:rsidP="00C76077">
      <w:pPr>
        <w:pBdr>
          <w:top w:val="nil"/>
          <w:left w:val="nil"/>
          <w:bottom w:val="nil"/>
          <w:right w:val="nil"/>
          <w:between w:val="nil"/>
        </w:pBdr>
        <w:spacing w:before="51"/>
        <w:ind w:right="2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Geography</w:t>
      </w:r>
      <w:r w:rsidR="000A37F0">
        <w:rPr>
          <w:b/>
          <w:color w:val="000000"/>
          <w:sz w:val="24"/>
          <w:szCs w:val="24"/>
          <w:u w:val="single"/>
        </w:rPr>
        <w:t xml:space="preserve"> Action Plan</w:t>
      </w:r>
    </w:p>
    <w:p w:rsidR="00FB25CE" w:rsidRDefault="000A37F0" w:rsidP="00C76077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before="182"/>
        <w:ind w:right="1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St. Bede’s 2021 -2022</w:t>
      </w:r>
    </w:p>
    <w:p w:rsidR="00FB25CE" w:rsidRDefault="00FB25CE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28"/>
          <w:szCs w:val="28"/>
        </w:rPr>
      </w:pPr>
    </w:p>
    <w:tbl>
      <w:tblPr>
        <w:tblStyle w:val="a"/>
        <w:tblW w:w="139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314"/>
        <w:gridCol w:w="2314"/>
        <w:gridCol w:w="2321"/>
        <w:gridCol w:w="2341"/>
        <w:gridCol w:w="2343"/>
      </w:tblGrid>
      <w:tr w:rsidR="00FB25CE">
        <w:trPr>
          <w:trHeight w:val="244"/>
        </w:trPr>
        <w:tc>
          <w:tcPr>
            <w:tcW w:w="4633" w:type="dxa"/>
            <w:gridSpan w:val="2"/>
            <w:shd w:val="clear" w:color="auto" w:fill="D9E1F3"/>
          </w:tcPr>
          <w:p w:rsidR="00FB25CE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2041" w:right="203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Intent</w:t>
            </w:r>
          </w:p>
        </w:tc>
        <w:tc>
          <w:tcPr>
            <w:tcW w:w="6976" w:type="dxa"/>
            <w:gridSpan w:val="3"/>
            <w:shd w:val="clear" w:color="auto" w:fill="B4C5E7"/>
          </w:tcPr>
          <w:p w:rsidR="00FB25CE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2794" w:right="27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2343" w:type="dxa"/>
            <w:shd w:val="clear" w:color="auto" w:fill="006FC0"/>
          </w:tcPr>
          <w:p w:rsidR="00FB25CE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Impact</w:t>
            </w:r>
          </w:p>
        </w:tc>
      </w:tr>
      <w:tr w:rsidR="00FB25CE">
        <w:trPr>
          <w:trHeight w:val="590"/>
        </w:trPr>
        <w:tc>
          <w:tcPr>
            <w:tcW w:w="2319" w:type="dxa"/>
            <w:shd w:val="clear" w:color="auto" w:fill="D9E1F3"/>
          </w:tcPr>
          <w:p w:rsidR="00FB25CE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Priority for Improvement</w:t>
            </w:r>
          </w:p>
        </w:tc>
        <w:tc>
          <w:tcPr>
            <w:tcW w:w="2314" w:type="dxa"/>
            <w:shd w:val="clear" w:color="auto" w:fill="D9E1F3"/>
          </w:tcPr>
          <w:p w:rsidR="00FB25CE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Success Criteria</w:t>
            </w:r>
          </w:p>
        </w:tc>
        <w:tc>
          <w:tcPr>
            <w:tcW w:w="2314" w:type="dxa"/>
            <w:shd w:val="clear" w:color="auto" w:fill="B4C5E7"/>
          </w:tcPr>
          <w:p w:rsidR="00FB25CE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right="358" w:hanging="4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Actions (What and Who?)</w:t>
            </w:r>
          </w:p>
        </w:tc>
        <w:tc>
          <w:tcPr>
            <w:tcW w:w="2321" w:type="dxa"/>
            <w:shd w:val="clear" w:color="auto" w:fill="B4C5E7"/>
          </w:tcPr>
          <w:p w:rsidR="00FB25CE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3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When/Frequency</w:t>
            </w:r>
          </w:p>
        </w:tc>
        <w:tc>
          <w:tcPr>
            <w:tcW w:w="2341" w:type="dxa"/>
            <w:shd w:val="clear" w:color="auto" w:fill="B4C5E7"/>
          </w:tcPr>
          <w:p w:rsidR="00FB25CE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9" w:firstLine="5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Monitoring (who/when/frequency)</w:t>
            </w:r>
          </w:p>
        </w:tc>
        <w:tc>
          <w:tcPr>
            <w:tcW w:w="2343" w:type="dxa"/>
            <w:shd w:val="clear" w:color="auto" w:fill="006FC0"/>
          </w:tcPr>
          <w:p w:rsidR="00FB25CE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Evaluation of Impact (who/when/frequency)</w:t>
            </w:r>
          </w:p>
        </w:tc>
      </w:tr>
      <w:tr w:rsidR="00FB25CE" w:rsidRPr="00375187">
        <w:trPr>
          <w:trHeight w:val="1953"/>
        </w:trPr>
        <w:tc>
          <w:tcPr>
            <w:tcW w:w="2319" w:type="dxa"/>
          </w:tcPr>
          <w:p w:rsidR="008719ED" w:rsidRPr="00375187" w:rsidRDefault="00375187" w:rsidP="008719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b/>
                <w:sz w:val="18"/>
                <w:szCs w:val="18"/>
              </w:rPr>
              <w:t>To monitor the implementation of our new curriculum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ensuring</w:t>
            </w:r>
            <w:r w:rsidR="008719ED" w:rsidRPr="003751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that skills are being taught in a methodical and consistent manner. </w:t>
            </w:r>
          </w:p>
          <w:p w:rsidR="00FB25CE" w:rsidRPr="00375187" w:rsidRDefault="00FB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</w:tcPr>
          <w:p w:rsidR="008719ED" w:rsidRPr="00375187" w:rsidRDefault="00375187" w:rsidP="00C760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Staff</w:t>
            </w:r>
            <w:r w:rsidR="008719ED"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 are confident using CM and evidence of planning, teaching and assessment is available </w:t>
            </w: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online.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Children will make good progres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s.</w:t>
            </w:r>
          </w:p>
          <w:p w:rsidR="008719ED" w:rsidRPr="00375187" w:rsidRDefault="008719ED" w:rsidP="00C760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19ED" w:rsidRPr="00375187" w:rsidRDefault="008719ED" w:rsidP="00C760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Pupils talk with </w:t>
            </w:r>
            <w:r w:rsidR="00375187" w:rsidRPr="00375187">
              <w:rPr>
                <w:rFonts w:asciiTheme="minorHAnsi" w:hAnsiTheme="minorHAnsi" w:cstheme="minorHAnsi"/>
                <w:sz w:val="18"/>
                <w:szCs w:val="18"/>
              </w:rPr>
              <w:t>interest</w:t>
            </w: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375187" w:rsidRPr="00375187">
              <w:rPr>
                <w:rFonts w:asciiTheme="minorHAnsi" w:hAnsiTheme="minorHAnsi" w:cstheme="minorHAnsi"/>
                <w:sz w:val="18"/>
                <w:szCs w:val="18"/>
              </w:rPr>
              <w:t>enthusiasm</w:t>
            </w: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 about topics using key vocabulary and relating their work to prior learning.</w:t>
            </w:r>
          </w:p>
          <w:p w:rsidR="008719ED" w:rsidRPr="00375187" w:rsidRDefault="008719ED" w:rsidP="00C760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077" w:rsidRPr="00375187" w:rsidRDefault="00C76077" w:rsidP="00C760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Overview maps correlate to the geography curriculum &amp; evidence of learning will be in books. </w:t>
            </w:r>
          </w:p>
          <w:p w:rsidR="00C76077" w:rsidRPr="00375187" w:rsidRDefault="00C76077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25CE" w:rsidRPr="00375187" w:rsidRDefault="00C76077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2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Teaching of knowledge and skills is clear and progressive.</w:t>
            </w:r>
          </w:p>
        </w:tc>
        <w:tc>
          <w:tcPr>
            <w:tcW w:w="2314" w:type="dxa"/>
          </w:tcPr>
          <w:p w:rsidR="008719ED" w:rsidRPr="00375187" w:rsidRDefault="008719ED" w:rsidP="008719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Whole school</w:t>
            </w:r>
          </w:p>
          <w:p w:rsidR="008719ED" w:rsidRPr="00375187" w:rsidRDefault="008719ED" w:rsidP="008719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class teachers</w:t>
            </w:r>
          </w:p>
          <w:p w:rsidR="008719ED" w:rsidRPr="00375187" w:rsidRDefault="008719ED" w:rsidP="008719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B25CE" w:rsidRPr="00375187" w:rsidRDefault="00FB25CE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</w:tcPr>
          <w:p w:rsidR="00FB25CE" w:rsidRPr="00375187" w:rsidRDefault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 2</w:t>
            </w:r>
          </w:p>
          <w:p w:rsidR="00FB25CE" w:rsidRPr="00375187" w:rsidRDefault="00FB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B25CE" w:rsidRPr="00375187" w:rsidRDefault="00FB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B25CE" w:rsidRPr="00375187" w:rsidRDefault="00FB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B25CE" w:rsidRPr="00375187" w:rsidRDefault="00FB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2341" w:type="dxa"/>
          </w:tcPr>
          <w:p w:rsidR="00C76077" w:rsidRPr="00375187" w:rsidRDefault="00C76077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 half termly</w:t>
            </w:r>
          </w:p>
          <w:p w:rsidR="008719ED" w:rsidRPr="00375187" w:rsidRDefault="008719ED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8719ED" w:rsidRPr="00375187" w:rsidRDefault="008719ED" w:rsidP="008719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Audit of overviews, termly book looks, speak to teachers </w:t>
            </w:r>
          </w:p>
          <w:p w:rsidR="008719ED" w:rsidRPr="00375187" w:rsidRDefault="008719ED" w:rsidP="008719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8719ED" w:rsidRPr="00375187" w:rsidRDefault="008719ED" w:rsidP="008719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Speak to KS1 and 2 teachers and order resources where necessary.</w:t>
            </w:r>
          </w:p>
          <w:p w:rsidR="008719ED" w:rsidRPr="00375187" w:rsidRDefault="008719ED" w:rsidP="0087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19ED" w:rsidRPr="00375187" w:rsidRDefault="008719ED" w:rsidP="0087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Book looks/planning scrutiny</w:t>
            </w:r>
            <w:r w:rsidR="00590605">
              <w:rPr>
                <w:rFonts w:asciiTheme="minorHAnsi" w:hAnsiTheme="minorHAnsi" w:cstheme="minorHAnsi"/>
                <w:sz w:val="18"/>
                <w:szCs w:val="18"/>
              </w:rPr>
              <w:t>, pupil and staff discussions</w:t>
            </w:r>
          </w:p>
        </w:tc>
        <w:tc>
          <w:tcPr>
            <w:tcW w:w="2343" w:type="dxa"/>
          </w:tcPr>
          <w:p w:rsidR="008719ED" w:rsidRPr="00375187" w:rsidRDefault="008719ED" w:rsidP="00590605">
            <w:pPr>
              <w:shd w:val="clear" w:color="auto" w:fill="92D050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All staff members have a clear understanding of where humanities subjects and global learning currently is at and can talk about what steps need to be taken moving forward.</w:t>
            </w:r>
          </w:p>
          <w:p w:rsidR="008719ED" w:rsidRPr="00375187" w:rsidRDefault="008719ED" w:rsidP="008719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19ED" w:rsidRPr="00375187" w:rsidRDefault="008719ED" w:rsidP="00590605">
            <w:pPr>
              <w:shd w:val="clear" w:color="auto" w:fill="92D050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Teachers will have a clear understanding of the expectations for their year group and of the skills needed to be covered.</w:t>
            </w:r>
          </w:p>
          <w:p w:rsidR="008719ED" w:rsidRPr="00375187" w:rsidRDefault="008719ED" w:rsidP="008719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19ED" w:rsidRPr="00375187" w:rsidRDefault="008719ED" w:rsidP="00590605">
            <w:pPr>
              <w:shd w:val="clear" w:color="auto" w:fill="92D050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Pupils enjoy and achieve to a high standard in these subject areas due to a high quality, bright, engaging, progressive curriculum which allows hands on, first hand experiences and learning.</w:t>
            </w:r>
          </w:p>
          <w:p w:rsidR="00FB25CE" w:rsidRPr="00375187" w:rsidRDefault="00FB25CE" w:rsidP="0087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6658" w:rsidRPr="00375187">
        <w:trPr>
          <w:trHeight w:val="1953"/>
        </w:trPr>
        <w:tc>
          <w:tcPr>
            <w:tcW w:w="2319" w:type="dxa"/>
          </w:tcPr>
          <w:p w:rsidR="00FB6658" w:rsidRPr="00375187" w:rsidRDefault="00375187" w:rsidP="008719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 e</w:t>
            </w:r>
            <w:r w:rsidR="00FB6658" w:rsidRPr="00375187">
              <w:rPr>
                <w:rFonts w:asciiTheme="minorHAnsi" w:hAnsiTheme="minorHAnsi" w:cstheme="minorHAnsi"/>
                <w:b/>
                <w:sz w:val="18"/>
                <w:szCs w:val="18"/>
              </w:rPr>
              <w:t>nsure teachers are using metacognition techniques to embed children’s learning resulting at least good progress for all.</w:t>
            </w:r>
          </w:p>
        </w:tc>
        <w:tc>
          <w:tcPr>
            <w:tcW w:w="2314" w:type="dxa"/>
          </w:tcPr>
          <w:p w:rsidR="00FB6658" w:rsidRPr="00375187" w:rsidRDefault="00FB6658" w:rsidP="00C760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All teaching staff will </w:t>
            </w:r>
            <w:r w:rsidR="00375187">
              <w:rPr>
                <w:rFonts w:asciiTheme="minorHAnsi" w:hAnsiTheme="minorHAnsi" w:cstheme="minorHAnsi"/>
                <w:sz w:val="18"/>
                <w:szCs w:val="18"/>
              </w:rPr>
              <w:t>understand the importance of incorporating metacognitive strategies into daily practice in order to commit learning to long term memory.</w:t>
            </w:r>
          </w:p>
        </w:tc>
        <w:tc>
          <w:tcPr>
            <w:tcW w:w="2314" w:type="dxa"/>
          </w:tcPr>
          <w:p w:rsidR="00FB6658" w:rsidRPr="00375187" w:rsidRDefault="00FB6658" w:rsidP="008719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Whole staff</w:t>
            </w:r>
          </w:p>
          <w:p w:rsidR="00FB6658" w:rsidRPr="00375187" w:rsidRDefault="00FB6658" w:rsidP="008719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(on going)</w:t>
            </w:r>
          </w:p>
          <w:p w:rsidR="00FB6658" w:rsidRPr="00375187" w:rsidRDefault="00FB6658" w:rsidP="008719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B6658" w:rsidRPr="00375187" w:rsidRDefault="00FB6658" w:rsidP="00FB6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Subject leader will review knowledge organisers and revisit and review quizzes/assessments for subjects.</w:t>
            </w:r>
          </w:p>
          <w:p w:rsidR="00FB6658" w:rsidRPr="00375187" w:rsidRDefault="00375187" w:rsidP="008719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(Spr 1)</w:t>
            </w:r>
          </w:p>
        </w:tc>
        <w:tc>
          <w:tcPr>
            <w:tcW w:w="2321" w:type="dxa"/>
          </w:tcPr>
          <w:p w:rsidR="00FB6658" w:rsidRPr="00375187" w:rsidRDefault="00F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Half termly</w:t>
            </w:r>
          </w:p>
        </w:tc>
        <w:tc>
          <w:tcPr>
            <w:tcW w:w="2341" w:type="dxa"/>
          </w:tcPr>
          <w:p w:rsidR="00FB6658" w:rsidRPr="00375187" w:rsidRDefault="00FB6658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</w:t>
            </w:r>
          </w:p>
          <w:p w:rsidR="00FB6658" w:rsidRPr="00375187" w:rsidRDefault="00FB6658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B6658" w:rsidRPr="00375187" w:rsidRDefault="00FB6658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Subject Monitoring (Aut 2)</w:t>
            </w:r>
            <w:r w:rsidR="005906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Book </w:t>
            </w:r>
            <w:proofErr w:type="spellStart"/>
            <w:r w:rsidR="005906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Scruitiny</w:t>
            </w:r>
            <w:proofErr w:type="spellEnd"/>
            <w:r w:rsidR="005906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906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Spr</w:t>
            </w:r>
            <w:proofErr w:type="spellEnd"/>
            <w:r w:rsidR="005906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2, Pupil Voice, Staff discussions</w:t>
            </w:r>
          </w:p>
          <w:p w:rsidR="00FB6658" w:rsidRPr="00375187" w:rsidRDefault="00FB6658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B6658" w:rsidRPr="00375187" w:rsidRDefault="00FB6658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B6658" w:rsidRPr="00375187" w:rsidRDefault="00FB6658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B6658" w:rsidRPr="00375187" w:rsidRDefault="00FB6658" w:rsidP="00F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B6658" w:rsidRPr="00375187" w:rsidRDefault="00FB6658" w:rsidP="00FB6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KW, SMT</w:t>
            </w:r>
          </w:p>
          <w:p w:rsidR="00FB6658" w:rsidRPr="00375187" w:rsidRDefault="00FB6658" w:rsidP="00FB66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6658" w:rsidRPr="00375187" w:rsidRDefault="00FB6658" w:rsidP="00FB6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KW staff meeting (Sp1)-</w:t>
            </w:r>
          </w:p>
          <w:p w:rsidR="00FB6658" w:rsidRPr="00375187" w:rsidRDefault="00FB6658" w:rsidP="00FB66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Effective Principles of Instruction </w:t>
            </w: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training to be shared with staff. </w:t>
            </w:r>
          </w:p>
          <w:p w:rsidR="00FB6658" w:rsidRPr="00375187" w:rsidRDefault="00FB6658" w:rsidP="00FB66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6658" w:rsidRPr="00375187" w:rsidRDefault="00FB6658" w:rsidP="00FB66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Identify importance of retrieval and share strategies to support retrieval of key knowledge and skills. </w:t>
            </w:r>
          </w:p>
          <w:p w:rsidR="00FB6658" w:rsidRPr="00375187" w:rsidRDefault="00FB6658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</w:tcPr>
          <w:p w:rsidR="00FB6658" w:rsidRPr="00375187" w:rsidRDefault="00FB6658" w:rsidP="00590605">
            <w:pPr>
              <w:pStyle w:val="trt0xe"/>
              <w:numPr>
                <w:ilvl w:val="0"/>
                <w:numId w:val="3"/>
              </w:numPr>
              <w:shd w:val="clear" w:color="auto" w:fill="92D050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lastRenderedPageBreak/>
              <w:t xml:space="preserve">Staff are able to talk with confidence about individual pupils and </w:t>
            </w:r>
            <w:r w:rsidR="00375187"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>identify</w:t>
            </w:r>
            <w:r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 xml:space="preserve"> what they already know.</w:t>
            </w:r>
          </w:p>
          <w:p w:rsidR="00FB6658" w:rsidRPr="00375187" w:rsidRDefault="00FB6658" w:rsidP="00FB665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</w:p>
          <w:p w:rsidR="00FB6658" w:rsidRPr="00375187" w:rsidRDefault="00FB6658" w:rsidP="00590605">
            <w:pPr>
              <w:shd w:val="clear" w:color="auto" w:fill="F79646" w:themeFill="accent6"/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</w:pPr>
            <w:r w:rsidRPr="00590605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79646" w:themeFill="accent6"/>
              </w:rPr>
              <w:t>Learning of key skills and knowledge is embedded in to long term memory with pupils</w:t>
            </w:r>
            <w:r w:rsidRPr="00375187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Pr="00590605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79646" w:themeFill="accent6"/>
              </w:rPr>
              <w:t xml:space="preserve">able to confidently refer to </w:t>
            </w:r>
            <w:r w:rsidRPr="00590605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79646" w:themeFill="accent6"/>
              </w:rPr>
              <w:lastRenderedPageBreak/>
              <w:t>prior learning, making links between topics.</w:t>
            </w:r>
          </w:p>
          <w:p w:rsidR="00FB6658" w:rsidRPr="00375187" w:rsidRDefault="00FB6658" w:rsidP="00FB6658">
            <w:pPr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</w:pPr>
          </w:p>
          <w:p w:rsidR="00FB6658" w:rsidRPr="00375187" w:rsidRDefault="00FB6658" w:rsidP="00590605">
            <w:pPr>
              <w:pStyle w:val="trt0xe"/>
              <w:shd w:val="clear" w:color="auto" w:fill="F79646" w:themeFill="accent6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</w:pPr>
            <w:r w:rsidRPr="00590605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79646" w:themeFill="accent6"/>
              </w:rPr>
              <w:t xml:space="preserve">Encouraging metacognition in the classroom will help </w:t>
            </w:r>
            <w:r w:rsidR="00375187" w:rsidRPr="00590605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79646" w:themeFill="accent6"/>
              </w:rPr>
              <w:t xml:space="preserve">to </w:t>
            </w:r>
            <w:r w:rsidR="00375187" w:rsidRPr="00590605">
              <w:rPr>
                <w:rFonts w:asciiTheme="minorHAnsi" w:hAnsiTheme="minorHAnsi" w:cstheme="minorHAnsi"/>
                <w:bCs/>
                <w:color w:val="202124"/>
                <w:sz w:val="18"/>
                <w:szCs w:val="18"/>
                <w:shd w:val="clear" w:color="auto" w:fill="F79646" w:themeFill="accent6"/>
              </w:rPr>
              <w:t>ensure</w:t>
            </w:r>
            <w:r w:rsidRPr="00590605">
              <w:rPr>
                <w:rFonts w:asciiTheme="minorHAnsi" w:hAnsiTheme="minorHAnsi" w:cstheme="minorHAnsi"/>
                <w:bCs/>
                <w:color w:val="202124"/>
                <w:sz w:val="18"/>
                <w:szCs w:val="18"/>
                <w:shd w:val="clear" w:color="auto" w:fill="F79646" w:themeFill="accent6"/>
              </w:rPr>
              <w:t xml:space="preserve"> that pupils are learning effectively</w:t>
            </w:r>
            <w:r w:rsidRPr="00590605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79646" w:themeFill="accent6"/>
              </w:rPr>
              <w:t>. This will help them throughout their lives by developing their resilience, memory, self-awareness, reasoning skills, and problem-solving abilities</w:t>
            </w:r>
            <w:r w:rsidRPr="00375187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>.</w:t>
            </w:r>
          </w:p>
          <w:p w:rsidR="00FB6658" w:rsidRPr="00375187" w:rsidRDefault="00FB6658" w:rsidP="00FB665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</w:p>
          <w:p w:rsidR="00FB6658" w:rsidRPr="00375187" w:rsidRDefault="00FB6658" w:rsidP="00590605">
            <w:pPr>
              <w:pStyle w:val="trt0xe"/>
              <w:numPr>
                <w:ilvl w:val="0"/>
                <w:numId w:val="3"/>
              </w:numPr>
              <w:shd w:val="clear" w:color="auto" w:fill="92D050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>Pupils can confidently articulate what they learned.</w:t>
            </w:r>
          </w:p>
          <w:p w:rsidR="00FB6658" w:rsidRPr="00375187" w:rsidRDefault="00FB6658" w:rsidP="00FB6658">
            <w:pPr>
              <w:pStyle w:val="trt0xe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</w:p>
          <w:p w:rsidR="00FB6658" w:rsidRPr="00375187" w:rsidRDefault="00FB6658" w:rsidP="00590605">
            <w:pPr>
              <w:pStyle w:val="trt0xe"/>
              <w:numPr>
                <w:ilvl w:val="0"/>
                <w:numId w:val="3"/>
              </w:numPr>
              <w:shd w:val="clear" w:color="auto" w:fill="F79646" w:themeFill="accent6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>Pupils can confidently communicate their knowledge, skills, and abilities in relation to a specific topic/lesson, demonstrating a</w:t>
            </w:r>
            <w:r w:rsid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 xml:space="preserve"> solid </w:t>
            </w:r>
            <w:r w:rsidR="00375187"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>knowledge</w:t>
            </w:r>
            <w:r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 xml:space="preserve"> and skill progression.</w:t>
            </w:r>
          </w:p>
          <w:p w:rsidR="00FB6658" w:rsidRPr="00375187" w:rsidRDefault="00FB6658" w:rsidP="008719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9ED" w:rsidRPr="00375187" w:rsidTr="00095390">
        <w:trPr>
          <w:trHeight w:val="1953"/>
        </w:trPr>
        <w:tc>
          <w:tcPr>
            <w:tcW w:w="2319" w:type="dxa"/>
          </w:tcPr>
          <w:p w:rsidR="008719ED" w:rsidRPr="00375187" w:rsidRDefault="008719ED" w:rsidP="008719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Audit geography resources across school to ensure that this is not a barrier to high quality teaching and learning</w:t>
            </w:r>
          </w:p>
          <w:p w:rsidR="008719ED" w:rsidRPr="00375187" w:rsidRDefault="008719ED" w:rsidP="008719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719ED" w:rsidRPr="00375187" w:rsidRDefault="008719ED" w:rsidP="008719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Ensure that all resources are kept up-to-date and are affective in teaching and learning.</w:t>
            </w: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2314" w:type="dxa"/>
          </w:tcPr>
          <w:p w:rsidR="00095390" w:rsidRPr="00375187" w:rsidRDefault="00095390" w:rsidP="00095390">
            <w:pPr>
              <w:widowControl/>
              <w:shd w:val="clear" w:color="auto" w:fill="FFFFFF"/>
              <w:spacing w:after="180" w:line="405" w:lineRule="atLeast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37518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All staff ar</w:t>
            </w:r>
            <w:r w:rsidRPr="0009539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e aware of the range of resources that are available </w:t>
            </w:r>
          </w:p>
          <w:p w:rsidR="00095390" w:rsidRPr="00095390" w:rsidRDefault="00095390" w:rsidP="00095390">
            <w:pPr>
              <w:widowControl/>
              <w:shd w:val="clear" w:color="auto" w:fill="FFFFFF"/>
              <w:spacing w:after="180" w:line="405" w:lineRule="atLeast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37518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Staff are </w:t>
            </w:r>
            <w:r w:rsidRPr="0009539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able to critically evaluate the potential of different resources as learning aids</w:t>
            </w:r>
          </w:p>
          <w:p w:rsidR="00095390" w:rsidRPr="00095390" w:rsidRDefault="00095390" w:rsidP="00095390">
            <w:pPr>
              <w:widowControl/>
              <w:numPr>
                <w:ilvl w:val="0"/>
                <w:numId w:val="2"/>
              </w:numPr>
              <w:shd w:val="clear" w:color="auto" w:fill="FFFFFF"/>
              <w:spacing w:after="180" w:line="405" w:lineRule="atLeast"/>
              <w:ind w:left="0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37518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lastRenderedPageBreak/>
              <w:t xml:space="preserve">Classrooms are richly </w:t>
            </w:r>
            <w:r w:rsidR="00375187" w:rsidRPr="0037518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resourced</w:t>
            </w:r>
            <w:r w:rsidRPr="0037518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and pupils are fully engaged in the topic demonstrating enjoyment in learning</w:t>
            </w:r>
          </w:p>
          <w:p w:rsidR="008719ED" w:rsidRPr="00375187" w:rsidRDefault="00095390" w:rsidP="00095390">
            <w:pPr>
              <w:widowControl/>
              <w:shd w:val="clear" w:color="auto" w:fill="FFFFFF"/>
              <w:spacing w:after="355" w:line="345" w:lineRule="atLeast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37518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A</w:t>
            </w:r>
            <w:r w:rsidRPr="0009539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range and quality of the visual and other resources </w:t>
            </w:r>
            <w:r w:rsidRPr="0037518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are used </w:t>
            </w:r>
            <w:r w:rsidR="00375187" w:rsidRPr="0037518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during </w:t>
            </w:r>
            <w:r w:rsidR="00375187" w:rsidRPr="0009539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geographical</w:t>
            </w:r>
            <w:r w:rsidRPr="0009539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educa</w:t>
            </w:r>
            <w:r w:rsidRPr="0009539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softHyphen/>
              <w:t>tion.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:rsidR="008719ED" w:rsidRPr="00375187" w:rsidRDefault="00095390" w:rsidP="008719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</w:rPr>
              <w:lastRenderedPageBreak/>
              <w:t>KW to speak to staff termly regarding further needs for resources or CPD linked to subject/topic.</w:t>
            </w:r>
          </w:p>
        </w:tc>
        <w:tc>
          <w:tcPr>
            <w:tcW w:w="2321" w:type="dxa"/>
          </w:tcPr>
          <w:p w:rsidR="008719ED" w:rsidRPr="00375187" w:rsidRDefault="0009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2341" w:type="dxa"/>
          </w:tcPr>
          <w:p w:rsidR="00095390" w:rsidRPr="00375187" w:rsidRDefault="00095390" w:rsidP="000953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Aut 2 (ongoing)</w:t>
            </w:r>
          </w:p>
          <w:p w:rsidR="00095390" w:rsidRPr="00375187" w:rsidRDefault="00095390" w:rsidP="000953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Planning scrutiny- how are resources being used? Pupil voice. Lesson drop-ins </w:t>
            </w:r>
          </w:p>
          <w:p w:rsidR="00095390" w:rsidRPr="00375187" w:rsidRDefault="00095390" w:rsidP="0009539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590605" w:rsidRDefault="00590605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90605" w:rsidRDefault="00590605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8719ED" w:rsidRPr="00375187" w:rsidRDefault="00590605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1260566</wp:posOffset>
                      </wp:positionH>
                      <wp:positionV relativeFrom="paragraph">
                        <wp:posOffset>455204</wp:posOffset>
                      </wp:positionV>
                      <wp:extent cx="209005" cy="0"/>
                      <wp:effectExtent l="38100" t="76200" r="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0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91D2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9.25pt;margin-top:35.85pt;width:16.4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Resources replenished and updated in line with new topics throughout the year.</w:t>
            </w:r>
          </w:p>
        </w:tc>
        <w:tc>
          <w:tcPr>
            <w:tcW w:w="2343" w:type="dxa"/>
          </w:tcPr>
          <w:p w:rsidR="00095390" w:rsidRPr="00375187" w:rsidRDefault="00095390" w:rsidP="00590605">
            <w:pPr>
              <w:shd w:val="clear" w:color="auto" w:fill="F79646" w:themeFill="accent6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A resource catalogue created, and resources are liked to units of work. Resources enthuse and engage pupils in the unit content. Resources enhance learning and therefore outcomes. </w:t>
            </w:r>
          </w:p>
          <w:p w:rsidR="00095390" w:rsidRPr="00375187" w:rsidRDefault="00095390" w:rsidP="000953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19ED" w:rsidRPr="00375187" w:rsidRDefault="00095390" w:rsidP="000953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0605">
              <w:rPr>
                <w:rFonts w:asciiTheme="minorHAnsi" w:hAnsiTheme="minorHAnsi" w:cstheme="minorHAnsi"/>
                <w:sz w:val="18"/>
                <w:szCs w:val="18"/>
                <w:shd w:val="clear" w:color="auto" w:fill="F79646" w:themeFill="accent6"/>
              </w:rPr>
              <w:t>Pupils will have access to good quality, rich educational resources and experiences, which will help ‘hook’ them in and encourage enjoyment and high levels of achievement.</w:t>
            </w:r>
          </w:p>
        </w:tc>
      </w:tr>
      <w:tr w:rsidR="00D91FBB" w:rsidRPr="00375187" w:rsidTr="00590605">
        <w:trPr>
          <w:trHeight w:val="1953"/>
        </w:trPr>
        <w:tc>
          <w:tcPr>
            <w:tcW w:w="2319" w:type="dxa"/>
          </w:tcPr>
          <w:p w:rsidR="00D91FBB" w:rsidRPr="00375187" w:rsidRDefault="00D91FBB" w:rsidP="008719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b/>
                <w:sz w:val="18"/>
                <w:szCs w:val="18"/>
              </w:rPr>
              <w:t>EYFS Assessments to be shared with subject leads to support depth in their subject</w:t>
            </w:r>
          </w:p>
        </w:tc>
        <w:tc>
          <w:tcPr>
            <w:tcW w:w="2314" w:type="dxa"/>
          </w:tcPr>
          <w:p w:rsidR="00D91FBB" w:rsidRPr="00375187" w:rsidRDefault="00FB6658" w:rsidP="00095390">
            <w:pPr>
              <w:widowControl/>
              <w:shd w:val="clear" w:color="auto" w:fill="FFFFFF"/>
              <w:spacing w:after="180" w:line="405" w:lineRule="atLeast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37518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Subject leaders can confidently discuss progression in skills and </w:t>
            </w:r>
            <w:r w:rsidR="00375187" w:rsidRPr="0037518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knowledge</w:t>
            </w:r>
            <w:r w:rsidRPr="0037518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from EY to KS2.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:rsidR="00D91FBB" w:rsidRPr="00375187" w:rsidRDefault="00D91FBB" w:rsidP="008719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Staff meeting on EYFS reform. KW to share subject related EYFS data from Autumn with subject leads.</w:t>
            </w:r>
          </w:p>
          <w:p w:rsidR="00D91FBB" w:rsidRPr="00375187" w:rsidRDefault="00D91FBB" w:rsidP="008719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</w:rPr>
              <w:t xml:space="preserve">(Aut </w:t>
            </w:r>
            <w:r w:rsidR="0037518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</w:rPr>
              <w:t>1</w:t>
            </w: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2321" w:type="dxa"/>
          </w:tcPr>
          <w:p w:rsidR="00D91FBB" w:rsidRPr="00375187" w:rsidRDefault="00F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 2</w:t>
            </w:r>
          </w:p>
        </w:tc>
        <w:tc>
          <w:tcPr>
            <w:tcW w:w="2341" w:type="dxa"/>
          </w:tcPr>
          <w:p w:rsidR="00D91FBB" w:rsidRPr="00375187" w:rsidRDefault="00D91FBB" w:rsidP="000953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KW to half-termly update subject leads of relevant EYFS assessments and provide support for the new curriculum</w:t>
            </w:r>
          </w:p>
        </w:tc>
        <w:tc>
          <w:tcPr>
            <w:tcW w:w="2343" w:type="dxa"/>
            <w:shd w:val="clear" w:color="auto" w:fill="9BBB59" w:themeFill="accent3"/>
          </w:tcPr>
          <w:p w:rsidR="00D91FBB" w:rsidRPr="00375187" w:rsidRDefault="00D91FBB" w:rsidP="000953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Subject leads are confident in understanding how the new EYFS curriculum fits in with their subject area and are aware of expectations within the EYFS and of progression from Nursery- Reception – Year 1 and beyond.</w:t>
            </w:r>
          </w:p>
        </w:tc>
      </w:tr>
      <w:tr w:rsidR="006D3BFC" w:rsidRPr="00375187" w:rsidTr="00095390">
        <w:trPr>
          <w:trHeight w:val="1953"/>
        </w:trPr>
        <w:tc>
          <w:tcPr>
            <w:tcW w:w="2319" w:type="dxa"/>
          </w:tcPr>
          <w:p w:rsidR="006D3BFC" w:rsidRPr="00375187" w:rsidRDefault="006D3BFC" w:rsidP="008719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b/>
                <w:sz w:val="18"/>
                <w:szCs w:val="18"/>
              </w:rPr>
              <w:t>Subject leader will work with pupil leadership groups to support and enhance wider curriculum opportunities linked to their subject area.</w:t>
            </w:r>
          </w:p>
        </w:tc>
        <w:tc>
          <w:tcPr>
            <w:tcW w:w="2314" w:type="dxa"/>
          </w:tcPr>
          <w:p w:rsidR="006D3BFC" w:rsidRPr="00375187" w:rsidRDefault="006D3BFC" w:rsidP="005D15EF">
            <w:pPr>
              <w:pStyle w:val="trt0xe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 xml:space="preserve">Pupil voice is active and is an important and well embedded element in the geography curriculum with </w:t>
            </w:r>
            <w:r w:rsidR="00375187"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>ambassadors</w:t>
            </w:r>
            <w:r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 xml:space="preserve"> talking with confidence about topics, events and </w:t>
            </w:r>
            <w:r w:rsidR="00375187"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>learning</w:t>
            </w:r>
            <w:r w:rsidRPr="00375187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 xml:space="preserve"> and working alongside subject leader and SMT to identify next steps, subject enhancement ideas etc.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:rsidR="006D3BFC" w:rsidRPr="00375187" w:rsidRDefault="006D3BFC" w:rsidP="006D3B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KW, Whole staff</w:t>
            </w:r>
          </w:p>
          <w:p w:rsidR="006D3BFC" w:rsidRPr="00375187" w:rsidRDefault="006D3BFC" w:rsidP="006D3B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Subject ambassadors identified and action plan produced with relevant pupil leaders. </w:t>
            </w:r>
          </w:p>
          <w:p w:rsidR="006D3BFC" w:rsidRPr="00375187" w:rsidRDefault="006D3BFC" w:rsidP="006D3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3BFC" w:rsidRPr="00375187" w:rsidRDefault="006D3BFC" w:rsidP="006D3BF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Leader to work with pupils to promote subject area within the curriculum and plan activities and whole school projects.</w:t>
            </w:r>
          </w:p>
        </w:tc>
        <w:tc>
          <w:tcPr>
            <w:tcW w:w="2321" w:type="dxa"/>
          </w:tcPr>
          <w:p w:rsidR="006D3BFC" w:rsidRPr="00375187" w:rsidRDefault="006D3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(ongoing)</w:t>
            </w:r>
          </w:p>
        </w:tc>
        <w:tc>
          <w:tcPr>
            <w:tcW w:w="2341" w:type="dxa"/>
          </w:tcPr>
          <w:p w:rsidR="006D3BFC" w:rsidRPr="00375187" w:rsidRDefault="006D3BFC" w:rsidP="000953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KW </w:t>
            </w:r>
            <w:r w:rsidR="00D91FBB" w:rsidRPr="00375187">
              <w:rPr>
                <w:rFonts w:asciiTheme="minorHAnsi" w:hAnsiTheme="minorHAnsi" w:cstheme="minorHAnsi"/>
                <w:sz w:val="18"/>
                <w:szCs w:val="18"/>
              </w:rPr>
              <w:t>Aut 2</w:t>
            </w:r>
          </w:p>
          <w:p w:rsidR="00D91FBB" w:rsidRPr="00375187" w:rsidRDefault="00D91FBB" w:rsidP="000953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1FBB" w:rsidRPr="00375187" w:rsidRDefault="00D91FBB" w:rsidP="000953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Work with whole staff, SMT and pupils to identify and appoint </w:t>
            </w:r>
            <w:r w:rsidR="00375187" w:rsidRPr="00375187">
              <w:rPr>
                <w:rFonts w:asciiTheme="minorHAnsi" w:hAnsiTheme="minorHAnsi" w:cstheme="minorHAnsi"/>
                <w:sz w:val="18"/>
                <w:szCs w:val="18"/>
              </w:rPr>
              <w:t>key</w:t>
            </w: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 representatives to act as </w:t>
            </w:r>
            <w:r w:rsidR="00375187" w:rsidRPr="00375187">
              <w:rPr>
                <w:rFonts w:asciiTheme="minorHAnsi" w:hAnsiTheme="minorHAnsi" w:cstheme="minorHAnsi"/>
                <w:sz w:val="18"/>
                <w:szCs w:val="18"/>
              </w:rPr>
              <w:t>ambassadors</w:t>
            </w: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 for Geography.</w:t>
            </w:r>
          </w:p>
          <w:p w:rsidR="006D3BFC" w:rsidRPr="00375187" w:rsidRDefault="006D3BFC" w:rsidP="000953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3BFC" w:rsidRPr="00375187" w:rsidRDefault="006D3BFC" w:rsidP="000953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3" w:type="dxa"/>
          </w:tcPr>
          <w:p w:rsidR="00D91FBB" w:rsidRPr="00375187" w:rsidRDefault="00D91FBB" w:rsidP="00590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Subject ambassadors identified and action plan produced with relevant pupil leaders. </w:t>
            </w:r>
          </w:p>
          <w:p w:rsidR="00D91FBB" w:rsidRPr="00375187" w:rsidRDefault="00D91FBB" w:rsidP="00D91F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3BFC" w:rsidRPr="00375187" w:rsidRDefault="00D91FBB" w:rsidP="00D91FBB">
            <w:pPr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</w:pPr>
            <w:r w:rsidRPr="0059060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0000"/>
              </w:rPr>
              <w:t>Leader to work with pupils to promote subject area within the curriculum and plan activities and whole school projects.</w:t>
            </w:r>
          </w:p>
        </w:tc>
      </w:tr>
    </w:tbl>
    <w:p w:rsidR="00FB25CE" w:rsidRPr="00375187" w:rsidRDefault="00FB25CE">
      <w:pPr>
        <w:spacing w:line="175" w:lineRule="auto"/>
        <w:jc w:val="both"/>
        <w:rPr>
          <w:rFonts w:asciiTheme="minorHAnsi" w:hAnsiTheme="minorHAnsi" w:cstheme="minorHAnsi"/>
          <w:sz w:val="18"/>
          <w:szCs w:val="18"/>
        </w:rPr>
        <w:sectPr w:rsidR="00FB25CE" w:rsidRPr="00375187">
          <w:footerReference w:type="default" r:id="rId8"/>
          <w:pgSz w:w="16840" w:h="11910" w:orient="landscape"/>
          <w:pgMar w:top="1100" w:right="1320" w:bottom="1600" w:left="1340" w:header="720" w:footer="1413" w:gutter="0"/>
          <w:pgNumType w:start="1"/>
          <w:cols w:space="720"/>
        </w:sectPr>
      </w:pPr>
    </w:p>
    <w:p w:rsidR="00FB25CE" w:rsidRPr="00375187" w:rsidRDefault="00FB25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a0"/>
        <w:tblW w:w="139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314"/>
        <w:gridCol w:w="2314"/>
        <w:gridCol w:w="2321"/>
        <w:gridCol w:w="2341"/>
        <w:gridCol w:w="2343"/>
      </w:tblGrid>
      <w:tr w:rsidR="00FB25CE" w:rsidRPr="00375187" w:rsidTr="00375187">
        <w:trPr>
          <w:trHeight w:val="62"/>
        </w:trPr>
        <w:tc>
          <w:tcPr>
            <w:tcW w:w="2319" w:type="dxa"/>
          </w:tcPr>
          <w:p w:rsidR="00FB25CE" w:rsidRPr="00375187" w:rsidRDefault="00FB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</w:tcPr>
          <w:p w:rsidR="00FB25CE" w:rsidRPr="00375187" w:rsidRDefault="00FB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9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</w:tcPr>
          <w:p w:rsidR="00FB25CE" w:rsidRPr="00375187" w:rsidRDefault="00FB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</w:tcPr>
          <w:p w:rsidR="00FB25CE" w:rsidRPr="00375187" w:rsidRDefault="00FB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</w:tcPr>
          <w:p w:rsidR="00FB25CE" w:rsidRPr="00375187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</w:tcPr>
          <w:p w:rsidR="00FB25CE" w:rsidRPr="00375187" w:rsidRDefault="00FB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B25CE" w:rsidRPr="00375187" w:rsidTr="00590605">
        <w:trPr>
          <w:trHeight w:val="1440"/>
        </w:trPr>
        <w:tc>
          <w:tcPr>
            <w:tcW w:w="2319" w:type="dxa"/>
          </w:tcPr>
          <w:p w:rsidR="00FB25CE" w:rsidRPr="00375187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b/>
                <w:sz w:val="18"/>
                <w:szCs w:val="18"/>
              </w:rPr>
              <w:t>To develop the use of working walls as a visual aid.</w:t>
            </w:r>
          </w:p>
        </w:tc>
        <w:tc>
          <w:tcPr>
            <w:tcW w:w="2314" w:type="dxa"/>
          </w:tcPr>
          <w:p w:rsidR="00FB25CE" w:rsidRPr="00375187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9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Working walls will be used in lessons to support </w:t>
            </w:r>
            <w:r w:rsidR="00C76077" w:rsidRPr="00375187">
              <w:rPr>
                <w:rFonts w:asciiTheme="minorHAnsi" w:hAnsiTheme="minorHAnsi" w:cstheme="minorHAnsi"/>
                <w:sz w:val="18"/>
                <w:szCs w:val="18"/>
              </w:rPr>
              <w:t>key knowledge and skills</w:t>
            </w: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</w:tcPr>
          <w:p w:rsidR="00FB25CE" w:rsidRPr="00375187" w:rsidRDefault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4"/>
              <w:rPr>
                <w:rFonts w:asciiTheme="minorHAnsi" w:hAnsiTheme="minorHAnsi" w:cstheme="minorHAnsi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KW</w:t>
            </w:r>
            <w:r w:rsidR="000A37F0"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 to share examples of working walls with staff. </w:t>
            </w:r>
          </w:p>
          <w:p w:rsidR="00FB25CE" w:rsidRPr="00375187" w:rsidRDefault="00FB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1" w:type="dxa"/>
          </w:tcPr>
          <w:p w:rsidR="00FB25CE" w:rsidRPr="00375187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10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Spring 2022</w:t>
            </w:r>
          </w:p>
        </w:tc>
        <w:tc>
          <w:tcPr>
            <w:tcW w:w="2341" w:type="dxa"/>
          </w:tcPr>
          <w:p w:rsidR="00FB25CE" w:rsidRPr="00375187" w:rsidRDefault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>KW</w:t>
            </w:r>
            <w:r w:rsidR="000A37F0"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 to monitor working walls and ensure they are purposeful. </w:t>
            </w:r>
          </w:p>
        </w:tc>
        <w:tc>
          <w:tcPr>
            <w:tcW w:w="2343" w:type="dxa"/>
            <w:shd w:val="clear" w:color="auto" w:fill="F79646" w:themeFill="accent6"/>
          </w:tcPr>
          <w:p w:rsidR="00FB25CE" w:rsidRPr="00375187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5187">
              <w:rPr>
                <w:rFonts w:asciiTheme="minorHAnsi" w:hAnsiTheme="minorHAnsi" w:cstheme="minorHAnsi"/>
                <w:sz w:val="18"/>
                <w:szCs w:val="18"/>
              </w:rPr>
              <w:t xml:space="preserve">Working walls will be used and referred to each lesson. They will be used by children to aid understanding and refer back to. </w:t>
            </w:r>
          </w:p>
        </w:tc>
      </w:tr>
      <w:tr w:rsidR="00FB25CE">
        <w:trPr>
          <w:trHeight w:val="1718"/>
        </w:trPr>
        <w:tc>
          <w:tcPr>
            <w:tcW w:w="2319" w:type="dxa"/>
          </w:tcPr>
          <w:p w:rsidR="00FB25CE" w:rsidRPr="00375187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1"/>
              <w:rPr>
                <w:b/>
                <w:sz w:val="18"/>
                <w:szCs w:val="18"/>
              </w:rPr>
            </w:pPr>
            <w:r w:rsidRPr="00375187">
              <w:rPr>
                <w:b/>
                <w:sz w:val="18"/>
                <w:szCs w:val="18"/>
              </w:rPr>
              <w:t xml:space="preserve">To develop parental engagement within </w:t>
            </w:r>
            <w:r w:rsidR="00C76077" w:rsidRPr="00375187">
              <w:rPr>
                <w:b/>
                <w:sz w:val="18"/>
                <w:szCs w:val="18"/>
              </w:rPr>
              <w:t>geography</w:t>
            </w:r>
            <w:r w:rsidRPr="00375187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314" w:type="dxa"/>
          </w:tcPr>
          <w:p w:rsidR="00FB25CE" w:rsidRPr="00375187" w:rsidRDefault="000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"/>
              <w:jc w:val="both"/>
              <w:rPr>
                <w:sz w:val="18"/>
                <w:szCs w:val="18"/>
              </w:rPr>
            </w:pPr>
            <w:r w:rsidRPr="00375187">
              <w:rPr>
                <w:sz w:val="18"/>
                <w:szCs w:val="18"/>
              </w:rPr>
              <w:t xml:space="preserve">Parents are invited into school </w:t>
            </w:r>
            <w:r w:rsidR="00C76077" w:rsidRPr="00375187">
              <w:rPr>
                <w:sz w:val="18"/>
                <w:szCs w:val="18"/>
              </w:rPr>
              <w:t xml:space="preserve">at the end of term to share </w:t>
            </w:r>
            <w:r w:rsidR="00375187" w:rsidRPr="00375187">
              <w:rPr>
                <w:sz w:val="18"/>
                <w:szCs w:val="18"/>
              </w:rPr>
              <w:t>children’s</w:t>
            </w:r>
            <w:r w:rsidR="00C76077" w:rsidRPr="00375187">
              <w:rPr>
                <w:sz w:val="18"/>
                <w:szCs w:val="18"/>
              </w:rPr>
              <w:t xml:space="preserve"> work – displays, book look, models etc</w:t>
            </w:r>
            <w:r w:rsidRPr="00375187">
              <w:rPr>
                <w:sz w:val="18"/>
                <w:szCs w:val="18"/>
              </w:rPr>
              <w:t>.</w:t>
            </w:r>
          </w:p>
          <w:p w:rsidR="00D91FBB" w:rsidRPr="00375187" w:rsidRDefault="00D9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"/>
              <w:jc w:val="both"/>
              <w:rPr>
                <w:sz w:val="18"/>
                <w:szCs w:val="18"/>
              </w:rPr>
            </w:pPr>
          </w:p>
          <w:p w:rsidR="00D91FBB" w:rsidRPr="00375187" w:rsidRDefault="00D9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"/>
              <w:jc w:val="both"/>
              <w:rPr>
                <w:sz w:val="18"/>
                <w:szCs w:val="18"/>
              </w:rPr>
            </w:pPr>
            <w:r w:rsidRPr="00375187">
              <w:rPr>
                <w:sz w:val="18"/>
                <w:szCs w:val="18"/>
              </w:rPr>
              <w:t xml:space="preserve">Staff members to share snap shots of pupils learning and achievements via Twitter, </w:t>
            </w:r>
            <w:r w:rsidR="00375187" w:rsidRPr="00375187">
              <w:rPr>
                <w:sz w:val="18"/>
                <w:szCs w:val="18"/>
              </w:rPr>
              <w:t>Tapestry</w:t>
            </w:r>
            <w:r w:rsidRPr="00375187">
              <w:rPr>
                <w:sz w:val="18"/>
                <w:szCs w:val="18"/>
              </w:rPr>
              <w:t>, Parent mail etc.</w:t>
            </w:r>
          </w:p>
        </w:tc>
        <w:tc>
          <w:tcPr>
            <w:tcW w:w="2314" w:type="dxa"/>
          </w:tcPr>
          <w:p w:rsidR="00FB25CE" w:rsidRPr="00375187" w:rsidRDefault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4"/>
              <w:rPr>
                <w:sz w:val="18"/>
                <w:szCs w:val="18"/>
              </w:rPr>
            </w:pPr>
            <w:r w:rsidRPr="00375187">
              <w:rPr>
                <w:sz w:val="18"/>
                <w:szCs w:val="18"/>
              </w:rPr>
              <w:t>CT</w:t>
            </w:r>
            <w:r w:rsidR="000A37F0" w:rsidRPr="00375187">
              <w:rPr>
                <w:sz w:val="18"/>
                <w:szCs w:val="18"/>
              </w:rPr>
              <w:t xml:space="preserve"> to share </w:t>
            </w:r>
            <w:r w:rsidR="00375187" w:rsidRPr="00375187">
              <w:rPr>
                <w:sz w:val="18"/>
                <w:szCs w:val="18"/>
              </w:rPr>
              <w:t>PowerPoint</w:t>
            </w:r>
            <w:r w:rsidR="000A37F0" w:rsidRPr="00375187">
              <w:rPr>
                <w:sz w:val="18"/>
                <w:szCs w:val="18"/>
              </w:rPr>
              <w:t xml:space="preserve"> </w:t>
            </w:r>
            <w:r w:rsidRPr="00375187">
              <w:rPr>
                <w:sz w:val="18"/>
                <w:szCs w:val="18"/>
              </w:rPr>
              <w:t xml:space="preserve">of pupils’ learning journey </w:t>
            </w:r>
            <w:r w:rsidR="000A37F0" w:rsidRPr="00375187">
              <w:rPr>
                <w:sz w:val="18"/>
                <w:szCs w:val="18"/>
              </w:rPr>
              <w:t xml:space="preserve">with parents. </w:t>
            </w:r>
          </w:p>
        </w:tc>
        <w:tc>
          <w:tcPr>
            <w:tcW w:w="2321" w:type="dxa"/>
          </w:tcPr>
          <w:p w:rsidR="00FB25CE" w:rsidRPr="00375187" w:rsidRDefault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107"/>
              <w:rPr>
                <w:sz w:val="18"/>
                <w:szCs w:val="18"/>
              </w:rPr>
            </w:pPr>
            <w:r w:rsidRPr="00375187">
              <w:rPr>
                <w:sz w:val="18"/>
                <w:szCs w:val="18"/>
              </w:rPr>
              <w:t xml:space="preserve">Spring </w:t>
            </w:r>
            <w:r w:rsidR="00D91FBB" w:rsidRPr="00375187">
              <w:rPr>
                <w:sz w:val="18"/>
                <w:szCs w:val="18"/>
              </w:rPr>
              <w:t>1</w:t>
            </w:r>
            <w:r w:rsidR="000A37F0" w:rsidRPr="00375187">
              <w:rPr>
                <w:sz w:val="18"/>
                <w:szCs w:val="18"/>
              </w:rPr>
              <w:t xml:space="preserve"> 202</w:t>
            </w:r>
            <w:r w:rsidRPr="00375187">
              <w:rPr>
                <w:sz w:val="18"/>
                <w:szCs w:val="18"/>
              </w:rPr>
              <w:t>2</w:t>
            </w:r>
          </w:p>
        </w:tc>
        <w:tc>
          <w:tcPr>
            <w:tcW w:w="2341" w:type="dxa"/>
          </w:tcPr>
          <w:p w:rsidR="00FB25CE" w:rsidRPr="00375187" w:rsidRDefault="00D9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sz w:val="18"/>
                <w:szCs w:val="18"/>
              </w:rPr>
            </w:pPr>
            <w:r w:rsidRPr="00375187">
              <w:rPr>
                <w:sz w:val="18"/>
                <w:szCs w:val="18"/>
              </w:rPr>
              <w:t>KW Spring</w:t>
            </w:r>
            <w:r w:rsidR="000A37F0" w:rsidRPr="00375187">
              <w:rPr>
                <w:sz w:val="18"/>
                <w:szCs w:val="18"/>
              </w:rPr>
              <w:t xml:space="preserve"> term. </w:t>
            </w:r>
          </w:p>
        </w:tc>
        <w:tc>
          <w:tcPr>
            <w:tcW w:w="2343" w:type="dxa"/>
          </w:tcPr>
          <w:p w:rsidR="00FB25CE" w:rsidRPr="00375187" w:rsidRDefault="00D91FBB" w:rsidP="00C7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1"/>
              <w:rPr>
                <w:sz w:val="18"/>
                <w:szCs w:val="18"/>
              </w:rPr>
            </w:pPr>
            <w:r w:rsidRPr="00375187">
              <w:rPr>
                <w:sz w:val="18"/>
                <w:szCs w:val="18"/>
              </w:rPr>
              <w:t xml:space="preserve">Parents are </w:t>
            </w:r>
            <w:r w:rsidR="00375187" w:rsidRPr="00375187">
              <w:rPr>
                <w:sz w:val="18"/>
                <w:szCs w:val="18"/>
              </w:rPr>
              <w:t>actively</w:t>
            </w:r>
            <w:r w:rsidRPr="00375187">
              <w:rPr>
                <w:sz w:val="18"/>
                <w:szCs w:val="18"/>
              </w:rPr>
              <w:t xml:space="preserve"> engaged with </w:t>
            </w:r>
            <w:r w:rsidR="00375187" w:rsidRPr="00375187">
              <w:rPr>
                <w:sz w:val="18"/>
                <w:szCs w:val="18"/>
              </w:rPr>
              <w:t>pupils</w:t>
            </w:r>
            <w:r w:rsidRPr="00375187">
              <w:rPr>
                <w:sz w:val="18"/>
                <w:szCs w:val="18"/>
              </w:rPr>
              <w:t>’ learning and expectations and progression in Geography</w:t>
            </w:r>
            <w:bookmarkStart w:id="2" w:name="_GoBack"/>
            <w:r w:rsidRPr="00375187">
              <w:rPr>
                <w:sz w:val="18"/>
                <w:szCs w:val="18"/>
              </w:rPr>
              <w:t>.</w:t>
            </w:r>
            <w:bookmarkEnd w:id="2"/>
          </w:p>
        </w:tc>
      </w:tr>
    </w:tbl>
    <w:p w:rsidR="00FB25CE" w:rsidRDefault="00FB25CE"/>
    <w:sectPr w:rsidR="00FB25CE">
      <w:pgSz w:w="16840" w:h="11910" w:orient="landscape"/>
      <w:pgMar w:top="1100" w:right="1320" w:bottom="1540" w:left="1340" w:header="0" w:footer="1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D0" w:rsidRDefault="007A4DD0">
      <w:r>
        <w:separator/>
      </w:r>
    </w:p>
  </w:endnote>
  <w:endnote w:type="continuationSeparator" w:id="0">
    <w:p w:rsidR="007A4DD0" w:rsidRDefault="007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CE" w:rsidRDefault="00FB25C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D0" w:rsidRDefault="007A4DD0">
      <w:r>
        <w:separator/>
      </w:r>
    </w:p>
  </w:footnote>
  <w:footnote w:type="continuationSeparator" w:id="0">
    <w:p w:rsidR="007A4DD0" w:rsidRDefault="007A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4D0"/>
    <w:multiLevelType w:val="multilevel"/>
    <w:tmpl w:val="2E8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44CE6"/>
    <w:multiLevelType w:val="multilevel"/>
    <w:tmpl w:val="C18E1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164143"/>
    <w:multiLevelType w:val="multilevel"/>
    <w:tmpl w:val="CF161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CD7E16"/>
    <w:multiLevelType w:val="multilevel"/>
    <w:tmpl w:val="CBD8C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E74257"/>
    <w:multiLevelType w:val="multilevel"/>
    <w:tmpl w:val="AABE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CE"/>
    <w:rsid w:val="00095390"/>
    <w:rsid w:val="000A37F0"/>
    <w:rsid w:val="001050C5"/>
    <w:rsid w:val="00375187"/>
    <w:rsid w:val="00590605"/>
    <w:rsid w:val="005D15EF"/>
    <w:rsid w:val="006D3BFC"/>
    <w:rsid w:val="007A4DD0"/>
    <w:rsid w:val="008719ED"/>
    <w:rsid w:val="00C76077"/>
    <w:rsid w:val="00D91FBB"/>
    <w:rsid w:val="00DA5C8E"/>
    <w:rsid w:val="00FB25CE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E0B9"/>
  <w15:docId w15:val="{E412D36C-CD5C-41EB-939A-51FFDAF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41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1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1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1B1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19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rt0xe">
    <w:name w:val="trt0xe"/>
    <w:basedOn w:val="Normal"/>
    <w:rsid w:val="005D15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cwtNwotZm2O1mQz5AIaKd/4tNw==">AMUW2mV0rPTIHoXnpr6iepSh+mC3uMK6PPQSQEYCMMjB1NAnV8/C+Ftz63ijz0v+YvvKUA/X4Xrd4CXoex63p78jLqUF8vgew2KguKCN9xSHt7O+nQynjyqG8lwv5WLq9GrnJYCBNiZS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Stokell</dc:creator>
  <cp:lastModifiedBy>Mrs Katherine White</cp:lastModifiedBy>
  <cp:revision>3</cp:revision>
  <dcterms:created xsi:type="dcterms:W3CDTF">2021-10-22T21:09:00Z</dcterms:created>
  <dcterms:modified xsi:type="dcterms:W3CDTF">2022-03-08T23:20:00Z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2021-06-30T00:00:00Z</vt:filetime>
  </property>
</Properties>
</file>