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756FC" w14:textId="77777777" w:rsidR="006374D0" w:rsidRDefault="0083637B">
      <w:pPr>
        <w:pStyle w:val="Heading1"/>
        <w:rPr>
          <w:sz w:val="32"/>
          <w:szCs w:val="32"/>
          <w:u w:val="single"/>
        </w:rPr>
      </w:pPr>
      <w:bookmarkStart w:id="0" w:name="_Toc357771638"/>
      <w:bookmarkStart w:id="1" w:name="_Toc346793416"/>
      <w:bookmarkStart w:id="2" w:name="_Toc328122777"/>
      <w:bookmarkStart w:id="3" w:name="_GoBack"/>
      <w:bookmarkEnd w:id="3"/>
      <w:r>
        <w:rPr>
          <w:sz w:val="32"/>
          <w:szCs w:val="32"/>
          <w:u w:val="single"/>
        </w:rPr>
        <w:t xml:space="preserve">Bishop’s Primary School: Pupil Premium Strategy and Impact </w:t>
      </w:r>
      <w:proofErr w:type="gramStart"/>
      <w:r>
        <w:rPr>
          <w:sz w:val="32"/>
          <w:szCs w:val="32"/>
          <w:u w:val="single"/>
        </w:rPr>
        <w:t>Statement  2018</w:t>
      </w:r>
      <w:proofErr w:type="gramEnd"/>
      <w:r>
        <w:rPr>
          <w:sz w:val="32"/>
          <w:szCs w:val="32"/>
          <w:u w:val="single"/>
        </w:rPr>
        <w:t>-2021</w:t>
      </w:r>
      <w:r>
        <w:rPr>
          <w:sz w:val="32"/>
          <w:szCs w:val="32"/>
          <w:u w:val="single"/>
        </w:rPr>
        <w:tab/>
      </w:r>
    </w:p>
    <w:p w14:paraId="5CD0E546" w14:textId="77777777" w:rsidR="006374D0" w:rsidRDefault="0083637B">
      <w:pPr>
        <w:pStyle w:val="Heading2"/>
        <w:rPr>
          <w:sz w:val="24"/>
          <w:szCs w:val="24"/>
        </w:rPr>
      </w:pPr>
      <w:bookmarkStart w:id="4" w:name="_Toc385406061"/>
      <w:bookmarkEnd w:id="0"/>
      <w:bookmarkEnd w:id="1"/>
      <w:bookmarkEnd w:id="2"/>
      <w:r>
        <w:rPr>
          <w:sz w:val="24"/>
          <w:szCs w:val="24"/>
        </w:rPr>
        <w:t>School overview</w:t>
      </w:r>
    </w:p>
    <w:tbl>
      <w:tblPr>
        <w:tblW w:w="148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10030"/>
      </w:tblGrid>
      <w:tr w:rsidR="006374D0" w14:paraId="7B99374C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8A591" w14:textId="77777777" w:rsidR="006374D0" w:rsidRDefault="0083637B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Metric</w:t>
            </w:r>
          </w:p>
        </w:tc>
        <w:tc>
          <w:tcPr>
            <w:tcW w:w="10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47E2C" w14:textId="77777777" w:rsidR="006374D0" w:rsidRDefault="0083637B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</w:t>
            </w:r>
          </w:p>
        </w:tc>
      </w:tr>
      <w:tr w:rsidR="006374D0" w14:paraId="439DD92C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B4C3B" w14:textId="77777777" w:rsidR="006374D0" w:rsidRDefault="0083637B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Pupils in school</w:t>
            </w:r>
          </w:p>
        </w:tc>
        <w:tc>
          <w:tcPr>
            <w:tcW w:w="10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84362" w14:textId="77777777" w:rsidR="006374D0" w:rsidRDefault="0083637B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1619 (</w:t>
            </w:r>
            <w:r w:rsidR="00F00369">
              <w:rPr>
                <w:sz w:val="22"/>
                <w:szCs w:val="22"/>
              </w:rPr>
              <w:t xml:space="preserve">Figures correct </w:t>
            </w:r>
            <w:r>
              <w:rPr>
                <w:sz w:val="22"/>
                <w:szCs w:val="22"/>
              </w:rPr>
              <w:t xml:space="preserve">as of </w:t>
            </w:r>
            <w:r w:rsidR="00F00369">
              <w:rPr>
                <w:sz w:val="22"/>
                <w:szCs w:val="22"/>
              </w:rPr>
              <w:t>21.01.20)</w:t>
            </w:r>
          </w:p>
        </w:tc>
      </w:tr>
      <w:tr w:rsidR="006374D0" w14:paraId="36665FB2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14D45" w14:textId="77777777" w:rsidR="006374D0" w:rsidRDefault="0083637B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Proportion </w:t>
            </w:r>
            <w:r w:rsidRPr="007A3F57">
              <w:rPr>
                <w:sz w:val="22"/>
                <w:szCs w:val="22"/>
              </w:rPr>
              <w:t>of disadvantaged</w:t>
            </w:r>
            <w:r>
              <w:rPr>
                <w:sz w:val="22"/>
                <w:szCs w:val="22"/>
              </w:rPr>
              <w:t xml:space="preserve"> pupils</w:t>
            </w:r>
            <w:r w:rsidR="007A3F57">
              <w:rPr>
                <w:sz w:val="22"/>
                <w:szCs w:val="22"/>
              </w:rPr>
              <w:t xml:space="preserve"> (Reception to Year 6)</w:t>
            </w:r>
          </w:p>
        </w:tc>
        <w:tc>
          <w:tcPr>
            <w:tcW w:w="10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E1333" w14:textId="77777777" w:rsidR="006374D0" w:rsidRDefault="00F00369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43.5% (573</w:t>
            </w:r>
            <w:r w:rsidR="00144F0C">
              <w:rPr>
                <w:sz w:val="22"/>
                <w:szCs w:val="22"/>
              </w:rPr>
              <w:t>),</w:t>
            </w:r>
            <w:r w:rsidR="007A3F57">
              <w:rPr>
                <w:sz w:val="22"/>
                <w:szCs w:val="22"/>
              </w:rPr>
              <w:t xml:space="preserve"> </w:t>
            </w:r>
            <w:r w:rsidR="0083637B">
              <w:rPr>
                <w:sz w:val="22"/>
                <w:szCs w:val="22"/>
              </w:rPr>
              <w:t>Pupil premium plus</w:t>
            </w:r>
            <w:r w:rsidR="00144F0C">
              <w:rPr>
                <w:sz w:val="22"/>
                <w:szCs w:val="22"/>
              </w:rPr>
              <w:t xml:space="preserve"> </w:t>
            </w:r>
            <w:r w:rsidR="0083637B">
              <w:rPr>
                <w:sz w:val="22"/>
                <w:szCs w:val="22"/>
              </w:rPr>
              <w:t>=</w:t>
            </w:r>
            <w:r w:rsidR="00144F0C">
              <w:rPr>
                <w:sz w:val="22"/>
                <w:szCs w:val="22"/>
              </w:rPr>
              <w:t xml:space="preserve"> 21 pupils</w:t>
            </w:r>
            <w:r w:rsidR="0083637B">
              <w:rPr>
                <w:sz w:val="22"/>
                <w:szCs w:val="22"/>
              </w:rPr>
              <w:t xml:space="preserve">   </w:t>
            </w:r>
          </w:p>
          <w:p w14:paraId="08D38224" w14:textId="77777777" w:rsidR="000B4484" w:rsidRDefault="000B4484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Reception = 44 of 185</w:t>
            </w:r>
            <w:r w:rsidR="0083637B">
              <w:rPr>
                <w:sz w:val="22"/>
                <w:szCs w:val="22"/>
              </w:rPr>
              <w:t xml:space="preserve">    Year 1</w:t>
            </w:r>
            <w:r>
              <w:rPr>
                <w:sz w:val="22"/>
                <w:szCs w:val="22"/>
              </w:rPr>
              <w:t xml:space="preserve"> </w:t>
            </w:r>
            <w:r w:rsidR="0083637B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72 of 194</w:t>
            </w:r>
            <w:r w:rsidR="0083637B">
              <w:rPr>
                <w:sz w:val="22"/>
                <w:szCs w:val="22"/>
              </w:rPr>
              <w:t xml:space="preserve">     Year 2</w:t>
            </w:r>
            <w:r>
              <w:rPr>
                <w:sz w:val="22"/>
                <w:szCs w:val="22"/>
              </w:rPr>
              <w:t xml:space="preserve"> </w:t>
            </w:r>
            <w:r w:rsidR="0083637B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80 of 199</w:t>
            </w:r>
            <w:r w:rsidR="0083637B">
              <w:rPr>
                <w:sz w:val="22"/>
                <w:szCs w:val="22"/>
              </w:rPr>
              <w:t xml:space="preserve">      Year 3</w:t>
            </w:r>
            <w:r>
              <w:rPr>
                <w:sz w:val="22"/>
                <w:szCs w:val="22"/>
              </w:rPr>
              <w:t xml:space="preserve"> </w:t>
            </w:r>
            <w:r w:rsidR="0083637B">
              <w:rPr>
                <w:sz w:val="22"/>
                <w:szCs w:val="22"/>
              </w:rPr>
              <w:t xml:space="preserve">= </w:t>
            </w:r>
            <w:r>
              <w:rPr>
                <w:sz w:val="22"/>
                <w:szCs w:val="22"/>
              </w:rPr>
              <w:t>77 of 184</w:t>
            </w:r>
            <w:r w:rsidR="0083637B">
              <w:rPr>
                <w:sz w:val="22"/>
                <w:szCs w:val="22"/>
              </w:rPr>
              <w:t xml:space="preserve">     </w:t>
            </w:r>
          </w:p>
          <w:p w14:paraId="35346729" w14:textId="77777777" w:rsidR="006374D0" w:rsidRDefault="0083637B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4</w:t>
            </w:r>
            <w:r w:rsidR="000B44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= </w:t>
            </w:r>
            <w:r w:rsidR="000B4484">
              <w:rPr>
                <w:sz w:val="22"/>
                <w:szCs w:val="22"/>
              </w:rPr>
              <w:t>103 of 187</w:t>
            </w:r>
            <w:r>
              <w:rPr>
                <w:sz w:val="22"/>
                <w:szCs w:val="22"/>
              </w:rPr>
              <w:t xml:space="preserve">    Year 5</w:t>
            </w:r>
            <w:r w:rsidR="000B44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= </w:t>
            </w:r>
            <w:r w:rsidR="000B4484">
              <w:rPr>
                <w:sz w:val="22"/>
                <w:szCs w:val="22"/>
              </w:rPr>
              <w:t>97 of 187</w:t>
            </w:r>
            <w:r>
              <w:rPr>
                <w:sz w:val="22"/>
                <w:szCs w:val="22"/>
              </w:rPr>
              <w:t xml:space="preserve">     Year 6 =</w:t>
            </w:r>
            <w:r w:rsidR="000B4484">
              <w:rPr>
                <w:sz w:val="22"/>
                <w:szCs w:val="22"/>
              </w:rPr>
              <w:t xml:space="preserve"> 100 of 182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374D0" w14:paraId="24CA311A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1F44D" w14:textId="77777777" w:rsidR="006374D0" w:rsidRDefault="0083637B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 premium allocation this academic year</w:t>
            </w:r>
          </w:p>
        </w:tc>
        <w:tc>
          <w:tcPr>
            <w:tcW w:w="10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5F021" w14:textId="77777777" w:rsidR="006374D0" w:rsidRDefault="0083637B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£791,570</w:t>
            </w:r>
            <w:r w:rsidR="009F79EB">
              <w:rPr>
                <w:sz w:val="22"/>
                <w:szCs w:val="22"/>
              </w:rPr>
              <w:t xml:space="preserve"> (Budget approx. £10,000 over)</w:t>
            </w:r>
          </w:p>
        </w:tc>
      </w:tr>
      <w:tr w:rsidR="006374D0" w14:paraId="60185AD6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A89E2" w14:textId="77777777" w:rsidR="006374D0" w:rsidRDefault="0083637B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 year or years covered by statement</w:t>
            </w:r>
          </w:p>
        </w:tc>
        <w:tc>
          <w:tcPr>
            <w:tcW w:w="10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8A255" w14:textId="77777777" w:rsidR="006374D0" w:rsidRDefault="0083637B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2018-21</w:t>
            </w:r>
          </w:p>
        </w:tc>
      </w:tr>
      <w:tr w:rsidR="006374D0" w14:paraId="1353B3FD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1BA48" w14:textId="77777777" w:rsidR="006374D0" w:rsidRDefault="0083637B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Publish date</w:t>
            </w:r>
          </w:p>
        </w:tc>
        <w:tc>
          <w:tcPr>
            <w:tcW w:w="10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41D45" w14:textId="77777777" w:rsidR="006374D0" w:rsidRDefault="0083637B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2019</w:t>
            </w:r>
          </w:p>
        </w:tc>
      </w:tr>
      <w:tr w:rsidR="006374D0" w14:paraId="35B85D1D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CB52C" w14:textId="77777777" w:rsidR="006374D0" w:rsidRDefault="0083637B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date</w:t>
            </w:r>
          </w:p>
        </w:tc>
        <w:tc>
          <w:tcPr>
            <w:tcW w:w="10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F1EAC" w14:textId="77777777" w:rsidR="006374D0" w:rsidRDefault="007A3F57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Midyear progress checks and full annual review September 2020 and 2021</w:t>
            </w:r>
          </w:p>
        </w:tc>
      </w:tr>
      <w:tr w:rsidR="006374D0" w14:paraId="102D63C7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8F6F3" w14:textId="77777777" w:rsidR="006374D0" w:rsidRDefault="0083637B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Statement authorised by</w:t>
            </w:r>
          </w:p>
        </w:tc>
        <w:tc>
          <w:tcPr>
            <w:tcW w:w="10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6CB2E" w14:textId="77777777" w:rsidR="006374D0" w:rsidRDefault="0083637B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Melanie Hinson (Principal) and Alan Hardie (Chief Executive Officer)</w:t>
            </w:r>
          </w:p>
        </w:tc>
      </w:tr>
      <w:tr w:rsidR="006374D0" w14:paraId="59D2119A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98862" w14:textId="77777777" w:rsidR="006374D0" w:rsidRDefault="0083637B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 premium lead</w:t>
            </w:r>
          </w:p>
        </w:tc>
        <w:tc>
          <w:tcPr>
            <w:tcW w:w="10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1EF31" w14:textId="77777777" w:rsidR="006374D0" w:rsidRDefault="0083637B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Graham Russell (Director of Data/Numeracy)</w:t>
            </w:r>
          </w:p>
        </w:tc>
      </w:tr>
      <w:tr w:rsidR="006374D0" w14:paraId="68A5A608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A22E0" w14:textId="77777777" w:rsidR="006374D0" w:rsidRDefault="0083637B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Governor lead</w:t>
            </w:r>
          </w:p>
        </w:tc>
        <w:tc>
          <w:tcPr>
            <w:tcW w:w="10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8D4BA" w14:textId="77777777" w:rsidR="006374D0" w:rsidRDefault="0083637B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Stephen Purvis</w:t>
            </w:r>
          </w:p>
        </w:tc>
      </w:tr>
    </w:tbl>
    <w:p w14:paraId="35DF5F2B" w14:textId="77777777" w:rsidR="006374D0" w:rsidRDefault="0083637B">
      <w:pPr>
        <w:pStyle w:val="Heading2"/>
      </w:pPr>
      <w:r>
        <w:rPr>
          <w:sz w:val="24"/>
          <w:szCs w:val="24"/>
        </w:rPr>
        <w:t xml:space="preserve">End of Key Stage 2 (Year 6) disadvantaged pupil progress scores for last academic year   </w:t>
      </w:r>
      <w:r>
        <w:rPr>
          <w:b w:val="0"/>
          <w:bCs/>
          <w:color w:val="auto"/>
          <w:sz w:val="20"/>
          <w:szCs w:val="20"/>
          <w:shd w:val="clear" w:color="auto" w:fill="00FF00"/>
        </w:rPr>
        <w:t>Green highlighting</w:t>
      </w:r>
      <w:r>
        <w:rPr>
          <w:b w:val="0"/>
          <w:bCs/>
          <w:color w:val="auto"/>
          <w:sz w:val="20"/>
          <w:szCs w:val="20"/>
        </w:rPr>
        <w:t xml:space="preserve"> =above national benchmarks</w:t>
      </w:r>
    </w:p>
    <w:tbl>
      <w:tblPr>
        <w:tblW w:w="126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3100"/>
        <w:gridCol w:w="4770"/>
      </w:tblGrid>
      <w:tr w:rsidR="006374D0" w14:paraId="1FA1E068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2BB6D" w14:textId="77777777" w:rsidR="006374D0" w:rsidRDefault="0083637B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3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D3763" w14:textId="77777777" w:rsidR="006374D0" w:rsidRDefault="0083637B">
            <w:pPr>
              <w:pStyle w:val="TableRow"/>
            </w:pPr>
            <w:r>
              <w:rPr>
                <w:b/>
                <w:sz w:val="22"/>
                <w:szCs w:val="22"/>
              </w:rPr>
              <w:t>Disadvantaged score</w:t>
            </w:r>
          </w:p>
        </w:tc>
        <w:tc>
          <w:tcPr>
            <w:tcW w:w="47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72B54B" w14:textId="77777777" w:rsidR="006374D0" w:rsidRDefault="0083637B">
            <w:pPr>
              <w:pStyle w:val="TableRow"/>
              <w:rPr>
                <w:b/>
                <w:bCs/>
              </w:rPr>
            </w:pPr>
            <w:r>
              <w:rPr>
                <w:b/>
                <w:bCs/>
              </w:rPr>
              <w:t>Scores of other pupils</w:t>
            </w:r>
          </w:p>
        </w:tc>
      </w:tr>
      <w:tr w:rsidR="006374D0" w14:paraId="0EE3F49F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AA750" w14:textId="77777777" w:rsidR="006374D0" w:rsidRDefault="0083637B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Reading</w:t>
            </w:r>
          </w:p>
        </w:tc>
        <w:tc>
          <w:tcPr>
            <w:tcW w:w="3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15E03" w14:textId="77777777" w:rsidR="006374D0" w:rsidRDefault="0083637B">
            <w:pPr>
              <w:pStyle w:val="TableRow"/>
              <w:jc w:val="center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+2.13</w:t>
            </w:r>
          </w:p>
        </w:tc>
        <w:tc>
          <w:tcPr>
            <w:tcW w:w="47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606A89" w14:textId="77777777" w:rsidR="006374D0" w:rsidRDefault="0083637B">
            <w:pPr>
              <w:pStyle w:val="TableRow"/>
              <w:jc w:val="center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+1.66</w:t>
            </w:r>
          </w:p>
        </w:tc>
      </w:tr>
      <w:tr w:rsidR="006374D0" w14:paraId="41AC7E4D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C2C23" w14:textId="77777777" w:rsidR="006374D0" w:rsidRDefault="0083637B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Writing</w:t>
            </w:r>
          </w:p>
        </w:tc>
        <w:tc>
          <w:tcPr>
            <w:tcW w:w="3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61347" w14:textId="77777777" w:rsidR="006374D0" w:rsidRDefault="0083637B">
            <w:pPr>
              <w:pStyle w:val="TableRow"/>
              <w:jc w:val="center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+0.35</w:t>
            </w:r>
          </w:p>
        </w:tc>
        <w:tc>
          <w:tcPr>
            <w:tcW w:w="47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3E7F74" w14:textId="77777777" w:rsidR="006374D0" w:rsidRDefault="0083637B">
            <w:pPr>
              <w:pStyle w:val="TableRow"/>
              <w:jc w:val="center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+1.89</w:t>
            </w:r>
          </w:p>
        </w:tc>
      </w:tr>
      <w:tr w:rsidR="006374D0" w14:paraId="4FC47F01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61ECD" w14:textId="77777777" w:rsidR="006374D0" w:rsidRDefault="0083637B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Maths</w:t>
            </w:r>
          </w:p>
        </w:tc>
        <w:tc>
          <w:tcPr>
            <w:tcW w:w="3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8553E" w14:textId="77777777" w:rsidR="006374D0" w:rsidRDefault="0083637B">
            <w:pPr>
              <w:pStyle w:val="TableRow"/>
              <w:jc w:val="center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+0.75</w:t>
            </w:r>
          </w:p>
        </w:tc>
        <w:tc>
          <w:tcPr>
            <w:tcW w:w="47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3B2342" w14:textId="77777777" w:rsidR="006374D0" w:rsidRDefault="0083637B">
            <w:pPr>
              <w:pStyle w:val="TableRow"/>
              <w:jc w:val="center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+1.74</w:t>
            </w:r>
          </w:p>
        </w:tc>
      </w:tr>
    </w:tbl>
    <w:p w14:paraId="40493602" w14:textId="77777777" w:rsidR="006374D0" w:rsidRDefault="0083637B">
      <w:pPr>
        <w:pStyle w:val="Heading2"/>
      </w:pPr>
      <w:r>
        <w:rPr>
          <w:color w:val="002060"/>
          <w:sz w:val="24"/>
          <w:szCs w:val="24"/>
        </w:rPr>
        <w:lastRenderedPageBreak/>
        <w:t xml:space="preserve">Disadvantaged pupil performance overview for last academic year (2018/19) compared to pupils not eligible for pupil premium funding.  </w:t>
      </w:r>
      <w:r>
        <w:rPr>
          <w:b w:val="0"/>
          <w:bCs/>
          <w:color w:val="auto"/>
          <w:sz w:val="24"/>
          <w:szCs w:val="24"/>
        </w:rPr>
        <w:t>PP = Pupils eligible for pupil premium funding     NAO=National average for pupils not eligible for PP funding</w:t>
      </w:r>
    </w:p>
    <w:tbl>
      <w:tblPr>
        <w:tblW w:w="146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5"/>
        <w:gridCol w:w="1077"/>
        <w:gridCol w:w="983"/>
        <w:gridCol w:w="1478"/>
        <w:gridCol w:w="719"/>
        <w:gridCol w:w="3953"/>
      </w:tblGrid>
      <w:tr w:rsidR="006374D0" w14:paraId="3A11E185" w14:textId="77777777">
        <w:trPr>
          <w:trHeight w:val="381"/>
        </w:trPr>
        <w:tc>
          <w:tcPr>
            <w:tcW w:w="64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9D31A" w14:textId="77777777" w:rsidR="006374D0" w:rsidRDefault="0083637B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46742" w14:textId="77777777" w:rsidR="006374D0" w:rsidRDefault="0083637B">
            <w:pPr>
              <w:pStyle w:val="TableRow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983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CA2E82" w14:textId="77777777" w:rsidR="006374D0" w:rsidRDefault="0083637B">
            <w:pPr>
              <w:pStyle w:val="TableRow"/>
              <w:ind w:left="15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 PP</w:t>
            </w:r>
          </w:p>
        </w:tc>
        <w:tc>
          <w:tcPr>
            <w:tcW w:w="147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6721C4" w14:textId="77777777" w:rsidR="006374D0" w:rsidRDefault="0083637B">
            <w:pPr>
              <w:pStyle w:val="TableRow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In school gap</w:t>
            </w:r>
          </w:p>
          <w:p w14:paraId="348755D0" w14:textId="77777777" w:rsidR="006374D0" w:rsidRDefault="0083637B">
            <w:pPr>
              <w:pStyle w:val="TableRow"/>
              <w:ind w:left="27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1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F3DED5" w14:textId="77777777" w:rsidR="006374D0" w:rsidRDefault="0083637B">
            <w:pPr>
              <w:pStyle w:val="TableRow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NAO</w:t>
            </w:r>
          </w:p>
          <w:p w14:paraId="14B87C28" w14:textId="77777777" w:rsidR="006374D0" w:rsidRDefault="006374D0">
            <w:pPr>
              <w:pStyle w:val="TableRow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53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7FB7CB" w14:textId="77777777" w:rsidR="006374D0" w:rsidRDefault="0083637B">
            <w:pPr>
              <w:pStyle w:val="TableRow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Attainment gap when compared to NAO</w:t>
            </w:r>
          </w:p>
          <w:p w14:paraId="32BA8F22" w14:textId="77777777" w:rsidR="006374D0" w:rsidRDefault="006374D0">
            <w:pPr>
              <w:pStyle w:val="TableRow"/>
              <w:ind w:left="0"/>
              <w:rPr>
                <w:b/>
                <w:bCs/>
              </w:rPr>
            </w:pPr>
          </w:p>
        </w:tc>
      </w:tr>
      <w:tr w:rsidR="006374D0" w14:paraId="39EE5066" w14:textId="77777777">
        <w:trPr>
          <w:trHeight w:val="381"/>
        </w:trPr>
        <w:tc>
          <w:tcPr>
            <w:tcW w:w="64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580CF" w14:textId="77777777" w:rsidR="006374D0" w:rsidRPr="000C65D1" w:rsidRDefault="0083637B">
            <w:pPr>
              <w:pStyle w:val="TableRow"/>
              <w:rPr>
                <w:rFonts w:cs="Calibri"/>
                <w:sz w:val="22"/>
                <w:szCs w:val="22"/>
              </w:rPr>
            </w:pPr>
            <w:r w:rsidRPr="000C65D1">
              <w:rPr>
                <w:rFonts w:cs="Calibri"/>
                <w:sz w:val="22"/>
                <w:szCs w:val="22"/>
              </w:rPr>
              <w:t xml:space="preserve">Reception class % achieving a Good Level of Development </w:t>
            </w:r>
          </w:p>
        </w:tc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B68B3" w14:textId="77777777" w:rsidR="006374D0" w:rsidRPr="000C65D1" w:rsidRDefault="0083637B" w:rsidP="008D15B9">
            <w:pPr>
              <w:pStyle w:val="TableRow"/>
              <w:ind w:left="0"/>
              <w:jc w:val="center"/>
            </w:pPr>
            <w:r w:rsidRPr="000C65D1">
              <w:t>66%</w:t>
            </w:r>
          </w:p>
        </w:tc>
        <w:tc>
          <w:tcPr>
            <w:tcW w:w="983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5CA3A0" w14:textId="77777777" w:rsidR="006374D0" w:rsidRPr="000C65D1" w:rsidRDefault="0083637B" w:rsidP="008D15B9">
            <w:pPr>
              <w:pStyle w:val="TableRow"/>
              <w:ind w:left="0"/>
              <w:jc w:val="center"/>
            </w:pPr>
            <w:r w:rsidRPr="000C65D1">
              <w:t>71%</w:t>
            </w:r>
          </w:p>
        </w:tc>
        <w:tc>
          <w:tcPr>
            <w:tcW w:w="147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FDE9B2" w14:textId="77777777" w:rsidR="006374D0" w:rsidRPr="000C65D1" w:rsidRDefault="0083637B" w:rsidP="008D15B9">
            <w:pPr>
              <w:pStyle w:val="TableRow"/>
              <w:ind w:left="0"/>
              <w:jc w:val="center"/>
            </w:pPr>
            <w:r w:rsidRPr="000C65D1">
              <w:t>-5%</w:t>
            </w:r>
          </w:p>
        </w:tc>
        <w:tc>
          <w:tcPr>
            <w:tcW w:w="71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FB30D3" w14:textId="77777777" w:rsidR="006374D0" w:rsidRPr="000C65D1" w:rsidRDefault="0083637B" w:rsidP="008D15B9">
            <w:pPr>
              <w:pStyle w:val="TableRow"/>
              <w:ind w:left="0"/>
              <w:jc w:val="center"/>
            </w:pPr>
            <w:r w:rsidRPr="000C65D1">
              <w:t>75%</w:t>
            </w:r>
          </w:p>
        </w:tc>
        <w:tc>
          <w:tcPr>
            <w:tcW w:w="3953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8CDC5A" w14:textId="77777777" w:rsidR="006374D0" w:rsidRPr="000C65D1" w:rsidRDefault="0083637B" w:rsidP="008D15B9">
            <w:pPr>
              <w:pStyle w:val="TableRow"/>
              <w:ind w:left="0"/>
              <w:jc w:val="center"/>
            </w:pPr>
            <w:r w:rsidRPr="000C65D1">
              <w:t>-9%</w:t>
            </w:r>
          </w:p>
        </w:tc>
      </w:tr>
      <w:tr w:rsidR="006374D0" w14:paraId="14D7EBE3" w14:textId="77777777">
        <w:trPr>
          <w:trHeight w:val="381"/>
        </w:trPr>
        <w:tc>
          <w:tcPr>
            <w:tcW w:w="64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F1B85" w14:textId="77777777" w:rsidR="006374D0" w:rsidRPr="000C65D1" w:rsidRDefault="0083637B">
            <w:pPr>
              <w:pStyle w:val="TableRow"/>
              <w:rPr>
                <w:rFonts w:cs="Calibri"/>
                <w:sz w:val="21"/>
                <w:szCs w:val="21"/>
              </w:rPr>
            </w:pPr>
            <w:r w:rsidRPr="000C65D1">
              <w:rPr>
                <w:rFonts w:cs="Calibri"/>
                <w:sz w:val="21"/>
                <w:szCs w:val="21"/>
              </w:rPr>
              <w:t>Achieving expected standard in the 2019 Year 1 Phonics Check</w:t>
            </w:r>
          </w:p>
        </w:tc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F7537" w14:textId="77777777" w:rsidR="006374D0" w:rsidRPr="000C65D1" w:rsidRDefault="0083637B" w:rsidP="008D15B9">
            <w:pPr>
              <w:pStyle w:val="TableRow"/>
              <w:jc w:val="center"/>
            </w:pPr>
            <w:r w:rsidRPr="000C65D1">
              <w:t>70%</w:t>
            </w:r>
          </w:p>
        </w:tc>
        <w:tc>
          <w:tcPr>
            <w:tcW w:w="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E085CA" w14:textId="77777777" w:rsidR="006374D0" w:rsidRPr="000C65D1" w:rsidRDefault="0083637B" w:rsidP="008D15B9">
            <w:pPr>
              <w:pStyle w:val="TableRow"/>
              <w:ind w:left="0"/>
              <w:jc w:val="center"/>
            </w:pPr>
            <w:r w:rsidRPr="000C65D1">
              <w:t>86%</w:t>
            </w:r>
          </w:p>
        </w:tc>
        <w:tc>
          <w:tcPr>
            <w:tcW w:w="147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7962D0" w14:textId="77777777" w:rsidR="006374D0" w:rsidRPr="000C65D1" w:rsidRDefault="0083637B" w:rsidP="008D15B9">
            <w:pPr>
              <w:pStyle w:val="TableRow"/>
              <w:ind w:left="0"/>
              <w:jc w:val="center"/>
            </w:pPr>
            <w:r w:rsidRPr="000C65D1">
              <w:t>-16%</w:t>
            </w:r>
          </w:p>
        </w:tc>
        <w:tc>
          <w:tcPr>
            <w:tcW w:w="71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D08387" w14:textId="77777777" w:rsidR="006374D0" w:rsidRPr="000C65D1" w:rsidRDefault="0083637B" w:rsidP="008D15B9">
            <w:pPr>
              <w:pStyle w:val="TableRow"/>
              <w:ind w:left="0"/>
              <w:jc w:val="center"/>
            </w:pPr>
            <w:r w:rsidRPr="000C65D1">
              <w:t>84%</w:t>
            </w:r>
          </w:p>
        </w:tc>
        <w:tc>
          <w:tcPr>
            <w:tcW w:w="3953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52B434" w14:textId="77777777" w:rsidR="006374D0" w:rsidRPr="000C65D1" w:rsidRDefault="0083637B" w:rsidP="008D15B9">
            <w:pPr>
              <w:pStyle w:val="TableRow"/>
              <w:ind w:left="0"/>
              <w:jc w:val="center"/>
            </w:pPr>
            <w:r w:rsidRPr="000C65D1">
              <w:t>-14%</w:t>
            </w:r>
          </w:p>
        </w:tc>
      </w:tr>
      <w:tr w:rsidR="006374D0" w14:paraId="28478A5A" w14:textId="77777777">
        <w:trPr>
          <w:trHeight w:val="381"/>
        </w:trPr>
        <w:tc>
          <w:tcPr>
            <w:tcW w:w="64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11166" w14:textId="77777777" w:rsidR="006374D0" w:rsidRPr="000C65D1" w:rsidRDefault="0083637B">
            <w:pPr>
              <w:pStyle w:val="TableRow"/>
              <w:rPr>
                <w:rFonts w:cs="Calibri"/>
                <w:b/>
                <w:bCs/>
                <w:sz w:val="22"/>
                <w:szCs w:val="22"/>
              </w:rPr>
            </w:pPr>
            <w:r w:rsidRPr="000C65D1">
              <w:rPr>
                <w:rFonts w:cs="Calibri"/>
                <w:b/>
                <w:bCs/>
                <w:sz w:val="22"/>
                <w:szCs w:val="22"/>
              </w:rPr>
              <w:t>End of Key Stage 1 (Year 2) attainment - unvalidated)</w:t>
            </w:r>
          </w:p>
        </w:tc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536CC" w14:textId="77777777" w:rsidR="006374D0" w:rsidRPr="000C65D1" w:rsidRDefault="006374D0" w:rsidP="008D15B9">
            <w:pPr>
              <w:pStyle w:val="TableRow"/>
              <w:jc w:val="center"/>
              <w:rPr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93E131" w14:textId="77777777" w:rsidR="006374D0" w:rsidRPr="000C65D1" w:rsidRDefault="006374D0" w:rsidP="008D15B9">
            <w:pPr>
              <w:pStyle w:val="TableRow"/>
              <w:ind w:left="0"/>
              <w:jc w:val="center"/>
            </w:pPr>
          </w:p>
        </w:tc>
        <w:tc>
          <w:tcPr>
            <w:tcW w:w="147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32C74E" w14:textId="77777777" w:rsidR="006374D0" w:rsidRPr="000C65D1" w:rsidRDefault="006374D0" w:rsidP="008D15B9">
            <w:pPr>
              <w:pStyle w:val="TableRow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71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14BF25" w14:textId="77777777" w:rsidR="006374D0" w:rsidRPr="000C65D1" w:rsidRDefault="006374D0" w:rsidP="008D15B9">
            <w:pPr>
              <w:pStyle w:val="TableRow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953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F5D70B" w14:textId="77777777" w:rsidR="006374D0" w:rsidRPr="000C65D1" w:rsidRDefault="006374D0" w:rsidP="008D15B9">
            <w:pPr>
              <w:pStyle w:val="TableRow"/>
              <w:ind w:left="0"/>
              <w:jc w:val="center"/>
            </w:pPr>
          </w:p>
        </w:tc>
      </w:tr>
      <w:tr w:rsidR="006374D0" w14:paraId="0070A6CE" w14:textId="77777777">
        <w:trPr>
          <w:trHeight w:val="381"/>
        </w:trPr>
        <w:tc>
          <w:tcPr>
            <w:tcW w:w="64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371DD" w14:textId="77777777" w:rsidR="006374D0" w:rsidRPr="000C65D1" w:rsidRDefault="0083637B">
            <w:pPr>
              <w:pStyle w:val="TableRow"/>
              <w:rPr>
                <w:rFonts w:cs="Calibri"/>
                <w:sz w:val="22"/>
                <w:szCs w:val="22"/>
              </w:rPr>
            </w:pPr>
            <w:r w:rsidRPr="000C65D1">
              <w:rPr>
                <w:rFonts w:cs="Calibri"/>
                <w:sz w:val="22"/>
                <w:szCs w:val="22"/>
              </w:rPr>
              <w:t>Meeting expected standard in reading</w:t>
            </w:r>
          </w:p>
          <w:p w14:paraId="42841CF4" w14:textId="77777777" w:rsidR="006374D0" w:rsidRPr="000C65D1" w:rsidRDefault="0083637B">
            <w:pPr>
              <w:pStyle w:val="TableRow"/>
              <w:rPr>
                <w:rFonts w:cs="Calibri"/>
                <w:sz w:val="22"/>
                <w:szCs w:val="22"/>
              </w:rPr>
            </w:pPr>
            <w:r w:rsidRPr="000C65D1">
              <w:rPr>
                <w:rFonts w:cs="Calibri"/>
                <w:sz w:val="22"/>
                <w:szCs w:val="22"/>
              </w:rPr>
              <w:t>Achieving high standard in reading</w:t>
            </w:r>
          </w:p>
        </w:tc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852B" w14:textId="77777777" w:rsidR="006374D0" w:rsidRPr="000C65D1" w:rsidRDefault="0083637B" w:rsidP="008D15B9">
            <w:pPr>
              <w:pStyle w:val="TableRow"/>
              <w:jc w:val="center"/>
            </w:pPr>
            <w:r w:rsidRPr="000C65D1">
              <w:t>68%   24%</w:t>
            </w:r>
          </w:p>
        </w:tc>
        <w:tc>
          <w:tcPr>
            <w:tcW w:w="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9CBC3A" w14:textId="77777777" w:rsidR="006374D0" w:rsidRPr="000C65D1" w:rsidRDefault="0083637B" w:rsidP="008D15B9">
            <w:pPr>
              <w:pStyle w:val="TableRow"/>
              <w:ind w:left="0"/>
              <w:jc w:val="center"/>
            </w:pPr>
            <w:r w:rsidRPr="000C65D1">
              <w:t>82%  18%</w:t>
            </w:r>
          </w:p>
        </w:tc>
        <w:tc>
          <w:tcPr>
            <w:tcW w:w="147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EDF5B5" w14:textId="77777777" w:rsidR="006374D0" w:rsidRPr="000C65D1" w:rsidRDefault="0083637B" w:rsidP="008D15B9">
            <w:pPr>
              <w:pStyle w:val="TableRow"/>
              <w:ind w:left="0"/>
              <w:jc w:val="center"/>
            </w:pPr>
            <w:r w:rsidRPr="000C65D1">
              <w:t>-14%            +6%</w:t>
            </w:r>
          </w:p>
        </w:tc>
        <w:tc>
          <w:tcPr>
            <w:tcW w:w="71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7E54F" w14:textId="77777777" w:rsidR="006374D0" w:rsidRPr="000C65D1" w:rsidRDefault="0083637B" w:rsidP="008D15B9">
            <w:pPr>
              <w:pStyle w:val="TableRow"/>
              <w:ind w:left="0"/>
              <w:jc w:val="center"/>
            </w:pPr>
            <w:r w:rsidRPr="000C65D1">
              <w:t>78%</w:t>
            </w:r>
          </w:p>
          <w:p w14:paraId="70250F9E" w14:textId="77777777" w:rsidR="006374D0" w:rsidRPr="000C65D1" w:rsidRDefault="0083637B" w:rsidP="008D15B9">
            <w:pPr>
              <w:pStyle w:val="TableRow"/>
              <w:ind w:left="0"/>
              <w:jc w:val="center"/>
            </w:pPr>
            <w:r w:rsidRPr="000C65D1">
              <w:t>28%</w:t>
            </w:r>
          </w:p>
        </w:tc>
        <w:tc>
          <w:tcPr>
            <w:tcW w:w="3953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D50D6B" w14:textId="77777777" w:rsidR="006374D0" w:rsidRPr="000C65D1" w:rsidRDefault="0083637B" w:rsidP="008D15B9">
            <w:pPr>
              <w:pStyle w:val="TableRow"/>
              <w:ind w:left="0"/>
              <w:jc w:val="center"/>
            </w:pPr>
            <w:r w:rsidRPr="000C65D1">
              <w:rPr>
                <w:color w:val="auto"/>
              </w:rPr>
              <w:t>-10%                                                            -4%</w:t>
            </w:r>
          </w:p>
        </w:tc>
      </w:tr>
      <w:tr w:rsidR="006374D0" w14:paraId="18DE127A" w14:textId="77777777">
        <w:trPr>
          <w:trHeight w:val="381"/>
        </w:trPr>
        <w:tc>
          <w:tcPr>
            <w:tcW w:w="64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BD3A5" w14:textId="77777777" w:rsidR="006374D0" w:rsidRPr="000C65D1" w:rsidRDefault="0083637B">
            <w:pPr>
              <w:pStyle w:val="TableRow"/>
              <w:rPr>
                <w:rFonts w:cs="Calibri"/>
                <w:sz w:val="22"/>
                <w:szCs w:val="22"/>
              </w:rPr>
            </w:pPr>
            <w:r w:rsidRPr="000C65D1">
              <w:rPr>
                <w:rFonts w:cs="Calibri"/>
                <w:sz w:val="22"/>
                <w:szCs w:val="22"/>
              </w:rPr>
              <w:t>Meeting expected standard in writing</w:t>
            </w:r>
          </w:p>
          <w:p w14:paraId="4CB36497" w14:textId="77777777" w:rsidR="006374D0" w:rsidRPr="000C65D1" w:rsidRDefault="0083637B">
            <w:pPr>
              <w:pStyle w:val="TableRow"/>
              <w:rPr>
                <w:rFonts w:cs="Calibri"/>
                <w:sz w:val="22"/>
                <w:szCs w:val="22"/>
              </w:rPr>
            </w:pPr>
            <w:r w:rsidRPr="000C65D1">
              <w:rPr>
                <w:rFonts w:cs="Calibri"/>
                <w:sz w:val="22"/>
                <w:szCs w:val="22"/>
              </w:rPr>
              <w:t>Achieving high standard in writing</w:t>
            </w:r>
          </w:p>
        </w:tc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6DFC8" w14:textId="77777777" w:rsidR="006374D0" w:rsidRPr="000C65D1" w:rsidRDefault="0083637B" w:rsidP="008D15B9">
            <w:pPr>
              <w:pStyle w:val="TableRow"/>
              <w:jc w:val="center"/>
            </w:pPr>
            <w:r w:rsidRPr="000C65D1">
              <w:t>59%  13%</w:t>
            </w:r>
          </w:p>
        </w:tc>
        <w:tc>
          <w:tcPr>
            <w:tcW w:w="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63B6DB" w14:textId="77777777" w:rsidR="006374D0" w:rsidRPr="000C65D1" w:rsidRDefault="0083637B" w:rsidP="008D15B9">
            <w:pPr>
              <w:pStyle w:val="TableRow"/>
              <w:ind w:left="0"/>
              <w:jc w:val="center"/>
            </w:pPr>
            <w:r w:rsidRPr="000C65D1">
              <w:t>76%   17%</w:t>
            </w:r>
          </w:p>
        </w:tc>
        <w:tc>
          <w:tcPr>
            <w:tcW w:w="147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6A8FB4" w14:textId="77777777" w:rsidR="006374D0" w:rsidRPr="000C65D1" w:rsidRDefault="0083637B" w:rsidP="008D15B9">
            <w:pPr>
              <w:pStyle w:val="TableRow"/>
              <w:ind w:left="0"/>
              <w:jc w:val="center"/>
            </w:pPr>
            <w:r w:rsidRPr="000C65D1">
              <w:t>-17%             -4%</w:t>
            </w:r>
          </w:p>
        </w:tc>
        <w:tc>
          <w:tcPr>
            <w:tcW w:w="71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17C34F" w14:textId="77777777" w:rsidR="006374D0" w:rsidRPr="000C65D1" w:rsidRDefault="0083637B" w:rsidP="008D15B9">
            <w:pPr>
              <w:pStyle w:val="TableRow"/>
              <w:ind w:left="0"/>
              <w:jc w:val="center"/>
            </w:pPr>
            <w:r w:rsidRPr="000C65D1">
              <w:t>73%</w:t>
            </w:r>
          </w:p>
          <w:p w14:paraId="0CAC7C27" w14:textId="77777777" w:rsidR="006374D0" w:rsidRPr="000C65D1" w:rsidRDefault="0083637B" w:rsidP="008D15B9">
            <w:pPr>
              <w:pStyle w:val="TableRow"/>
              <w:ind w:left="0"/>
              <w:jc w:val="center"/>
            </w:pPr>
            <w:r w:rsidRPr="000C65D1">
              <w:t>17%</w:t>
            </w:r>
          </w:p>
        </w:tc>
        <w:tc>
          <w:tcPr>
            <w:tcW w:w="3953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239E76" w14:textId="77777777" w:rsidR="006374D0" w:rsidRPr="000C65D1" w:rsidRDefault="0083637B" w:rsidP="008D15B9">
            <w:pPr>
              <w:pStyle w:val="TableRow"/>
              <w:ind w:left="0"/>
              <w:jc w:val="center"/>
            </w:pPr>
            <w:r w:rsidRPr="000C65D1">
              <w:t>-14%</w:t>
            </w:r>
          </w:p>
          <w:p w14:paraId="0182FAD9" w14:textId="77777777" w:rsidR="006374D0" w:rsidRPr="000C65D1" w:rsidRDefault="0083637B" w:rsidP="008D15B9">
            <w:pPr>
              <w:pStyle w:val="TableRow"/>
              <w:ind w:left="0"/>
              <w:jc w:val="center"/>
            </w:pPr>
            <w:r w:rsidRPr="000C65D1">
              <w:t>-4%</w:t>
            </w:r>
          </w:p>
        </w:tc>
      </w:tr>
      <w:tr w:rsidR="006374D0" w14:paraId="5F62E920" w14:textId="77777777">
        <w:trPr>
          <w:trHeight w:val="381"/>
        </w:trPr>
        <w:tc>
          <w:tcPr>
            <w:tcW w:w="64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79C47" w14:textId="77777777" w:rsidR="006374D0" w:rsidRPr="000C65D1" w:rsidRDefault="0083637B">
            <w:pPr>
              <w:pStyle w:val="TableRow"/>
              <w:rPr>
                <w:rFonts w:cs="Calibri"/>
                <w:sz w:val="22"/>
                <w:szCs w:val="22"/>
              </w:rPr>
            </w:pPr>
            <w:r w:rsidRPr="000C65D1">
              <w:rPr>
                <w:rFonts w:cs="Calibri"/>
                <w:sz w:val="22"/>
                <w:szCs w:val="22"/>
              </w:rPr>
              <w:t>Meeting expected standard in maths</w:t>
            </w:r>
          </w:p>
          <w:p w14:paraId="79B3197B" w14:textId="77777777" w:rsidR="006374D0" w:rsidRPr="000C65D1" w:rsidRDefault="0083637B">
            <w:pPr>
              <w:pStyle w:val="TableRow"/>
              <w:rPr>
                <w:rFonts w:cs="Calibri"/>
                <w:sz w:val="22"/>
                <w:szCs w:val="22"/>
              </w:rPr>
            </w:pPr>
            <w:r w:rsidRPr="000C65D1">
              <w:rPr>
                <w:rFonts w:cs="Calibri"/>
                <w:sz w:val="22"/>
                <w:szCs w:val="22"/>
              </w:rPr>
              <w:t>Achieving high standard in maths</w:t>
            </w:r>
          </w:p>
        </w:tc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58964" w14:textId="77777777" w:rsidR="006374D0" w:rsidRPr="000C65D1" w:rsidRDefault="0083637B" w:rsidP="008D15B9">
            <w:pPr>
              <w:pStyle w:val="TableRow"/>
              <w:jc w:val="center"/>
            </w:pPr>
            <w:r w:rsidRPr="000C65D1">
              <w:t>69%  21%</w:t>
            </w:r>
          </w:p>
        </w:tc>
        <w:tc>
          <w:tcPr>
            <w:tcW w:w="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D4B3BF" w14:textId="77777777" w:rsidR="006374D0" w:rsidRPr="000C65D1" w:rsidRDefault="0083637B" w:rsidP="008D15B9">
            <w:pPr>
              <w:pStyle w:val="TableRow"/>
              <w:ind w:left="0"/>
              <w:jc w:val="center"/>
            </w:pPr>
            <w:r w:rsidRPr="000C65D1">
              <w:t>82%  19%</w:t>
            </w:r>
          </w:p>
        </w:tc>
        <w:tc>
          <w:tcPr>
            <w:tcW w:w="147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0067E1" w14:textId="77777777" w:rsidR="006374D0" w:rsidRPr="000C65D1" w:rsidRDefault="0083637B" w:rsidP="008D15B9">
            <w:pPr>
              <w:pStyle w:val="TableRow"/>
              <w:ind w:left="0"/>
              <w:jc w:val="center"/>
            </w:pPr>
            <w:r w:rsidRPr="000C65D1">
              <w:t>-13%      +2%</w:t>
            </w:r>
          </w:p>
        </w:tc>
        <w:tc>
          <w:tcPr>
            <w:tcW w:w="71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9DCCC6" w14:textId="77777777" w:rsidR="006374D0" w:rsidRPr="000C65D1" w:rsidRDefault="0083637B" w:rsidP="008D15B9">
            <w:pPr>
              <w:pStyle w:val="TableRow"/>
              <w:ind w:left="0"/>
              <w:jc w:val="center"/>
            </w:pPr>
            <w:r w:rsidRPr="000C65D1">
              <w:t>79%</w:t>
            </w:r>
          </w:p>
          <w:p w14:paraId="5BC59DF2" w14:textId="77777777" w:rsidR="006374D0" w:rsidRPr="000C65D1" w:rsidRDefault="0083637B" w:rsidP="008D15B9">
            <w:pPr>
              <w:pStyle w:val="TableRow"/>
              <w:ind w:left="0"/>
              <w:jc w:val="center"/>
            </w:pPr>
            <w:r w:rsidRPr="000C65D1">
              <w:t>24%</w:t>
            </w:r>
          </w:p>
        </w:tc>
        <w:tc>
          <w:tcPr>
            <w:tcW w:w="3953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493AD5" w14:textId="77777777" w:rsidR="006374D0" w:rsidRPr="000C65D1" w:rsidRDefault="0083637B" w:rsidP="008D15B9">
            <w:pPr>
              <w:pStyle w:val="TableRow"/>
              <w:ind w:left="0"/>
              <w:jc w:val="center"/>
            </w:pPr>
            <w:r w:rsidRPr="000C65D1">
              <w:t>-10%                                                          -3%</w:t>
            </w:r>
          </w:p>
        </w:tc>
      </w:tr>
      <w:tr w:rsidR="006374D0" w14:paraId="588B05EB" w14:textId="77777777">
        <w:trPr>
          <w:trHeight w:val="381"/>
        </w:trPr>
        <w:tc>
          <w:tcPr>
            <w:tcW w:w="64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6521B" w14:textId="77777777" w:rsidR="006374D0" w:rsidRPr="000C65D1" w:rsidRDefault="0083637B">
            <w:pPr>
              <w:pStyle w:val="TableRow"/>
              <w:rPr>
                <w:rFonts w:cs="Calibri"/>
                <w:color w:val="auto"/>
                <w:sz w:val="22"/>
                <w:szCs w:val="22"/>
              </w:rPr>
            </w:pPr>
            <w:r w:rsidRPr="000C65D1">
              <w:rPr>
                <w:rFonts w:cs="Calibri"/>
                <w:color w:val="auto"/>
                <w:sz w:val="22"/>
                <w:szCs w:val="22"/>
              </w:rPr>
              <w:t>Meeting expected standard in science</w:t>
            </w:r>
          </w:p>
        </w:tc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8BBB6" w14:textId="23BE6828" w:rsidR="006374D0" w:rsidRPr="00B07CA5" w:rsidRDefault="00B07CA5" w:rsidP="008D15B9">
            <w:pPr>
              <w:pStyle w:val="TableRow"/>
              <w:jc w:val="center"/>
              <w:rPr>
                <w:color w:val="auto"/>
              </w:rPr>
            </w:pPr>
            <w:r>
              <w:rPr>
                <w:color w:val="auto"/>
              </w:rPr>
              <w:t>81%</w:t>
            </w:r>
          </w:p>
        </w:tc>
        <w:tc>
          <w:tcPr>
            <w:tcW w:w="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A61029" w14:textId="77777777" w:rsidR="006374D0" w:rsidRPr="000C65D1" w:rsidRDefault="008D15B9" w:rsidP="008D15B9">
            <w:pPr>
              <w:pStyle w:val="TableRow"/>
              <w:ind w:left="0"/>
              <w:jc w:val="center"/>
              <w:rPr>
                <w:color w:val="auto"/>
              </w:rPr>
            </w:pPr>
            <w:r w:rsidRPr="000C65D1">
              <w:rPr>
                <w:color w:val="auto"/>
              </w:rPr>
              <w:t>91%</w:t>
            </w:r>
          </w:p>
        </w:tc>
        <w:tc>
          <w:tcPr>
            <w:tcW w:w="147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C69C9B" w14:textId="77777777" w:rsidR="006374D0" w:rsidRPr="000C65D1" w:rsidRDefault="008D15B9" w:rsidP="008D15B9">
            <w:pPr>
              <w:pStyle w:val="TableRow"/>
              <w:ind w:left="0"/>
              <w:jc w:val="center"/>
            </w:pPr>
            <w:r w:rsidRPr="000C65D1">
              <w:t>-10%</w:t>
            </w:r>
          </w:p>
        </w:tc>
        <w:tc>
          <w:tcPr>
            <w:tcW w:w="71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72CA7D" w14:textId="77777777" w:rsidR="006374D0" w:rsidRPr="000C65D1" w:rsidRDefault="008D15B9" w:rsidP="008D15B9">
            <w:pPr>
              <w:pStyle w:val="TableRow"/>
              <w:ind w:left="0"/>
              <w:jc w:val="center"/>
            </w:pPr>
            <w:r w:rsidRPr="000C65D1">
              <w:t>85</w:t>
            </w:r>
            <w:r w:rsidR="0083637B" w:rsidRPr="000C65D1">
              <w:t>%</w:t>
            </w:r>
          </w:p>
        </w:tc>
        <w:tc>
          <w:tcPr>
            <w:tcW w:w="3953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CF08A2" w14:textId="77777777" w:rsidR="006374D0" w:rsidRPr="000C65D1" w:rsidRDefault="008D15B9" w:rsidP="008D15B9">
            <w:pPr>
              <w:pStyle w:val="TableRow"/>
              <w:ind w:left="0"/>
              <w:jc w:val="center"/>
            </w:pPr>
            <w:r w:rsidRPr="000C65D1">
              <w:t>-4%</w:t>
            </w:r>
          </w:p>
        </w:tc>
      </w:tr>
      <w:tr w:rsidR="006374D0" w14:paraId="7C55EDBF" w14:textId="77777777">
        <w:trPr>
          <w:trHeight w:val="381"/>
        </w:trPr>
        <w:tc>
          <w:tcPr>
            <w:tcW w:w="64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EE4C1" w14:textId="77777777" w:rsidR="006374D0" w:rsidRPr="000C65D1" w:rsidRDefault="0083637B">
            <w:pPr>
              <w:pStyle w:val="TableRow"/>
              <w:rPr>
                <w:rFonts w:cs="Calibri"/>
                <w:color w:val="auto"/>
                <w:sz w:val="22"/>
                <w:szCs w:val="22"/>
              </w:rPr>
            </w:pPr>
            <w:r w:rsidRPr="000C65D1">
              <w:rPr>
                <w:rFonts w:cs="Calibri"/>
                <w:color w:val="auto"/>
                <w:sz w:val="22"/>
                <w:szCs w:val="22"/>
              </w:rPr>
              <w:t>Meeting expected standard in reading, writing and maths</w:t>
            </w:r>
          </w:p>
          <w:p w14:paraId="014ABEE5" w14:textId="77777777" w:rsidR="006374D0" w:rsidRPr="000C65D1" w:rsidRDefault="0083637B">
            <w:pPr>
              <w:pStyle w:val="TableRow"/>
              <w:rPr>
                <w:rFonts w:cs="Calibri"/>
                <w:color w:val="auto"/>
                <w:sz w:val="22"/>
                <w:szCs w:val="22"/>
              </w:rPr>
            </w:pPr>
            <w:r w:rsidRPr="000C65D1">
              <w:rPr>
                <w:rFonts w:cs="Calibri"/>
                <w:color w:val="auto"/>
                <w:sz w:val="22"/>
                <w:szCs w:val="22"/>
              </w:rPr>
              <w:t>Achieving high standard in reading, writing and maths</w:t>
            </w:r>
          </w:p>
        </w:tc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67D8C" w14:textId="2E922999" w:rsidR="008D15B9" w:rsidRPr="00B07CA5" w:rsidRDefault="00B07CA5" w:rsidP="008D15B9">
            <w:pPr>
              <w:pStyle w:val="TableRow"/>
              <w:jc w:val="center"/>
              <w:rPr>
                <w:color w:val="auto"/>
              </w:rPr>
            </w:pPr>
            <w:r>
              <w:rPr>
                <w:color w:val="auto"/>
              </w:rPr>
              <w:t>59%  6%</w:t>
            </w:r>
          </w:p>
        </w:tc>
        <w:tc>
          <w:tcPr>
            <w:tcW w:w="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FB5CD5" w14:textId="77777777" w:rsidR="006374D0" w:rsidRPr="000C65D1" w:rsidRDefault="008D15B9" w:rsidP="008D15B9">
            <w:pPr>
              <w:pStyle w:val="TableRow"/>
              <w:ind w:left="0"/>
              <w:jc w:val="center"/>
              <w:rPr>
                <w:color w:val="auto"/>
              </w:rPr>
            </w:pPr>
            <w:r w:rsidRPr="000C65D1">
              <w:rPr>
                <w:color w:val="auto"/>
              </w:rPr>
              <w:t>68%</w:t>
            </w:r>
          </w:p>
          <w:p w14:paraId="10252814" w14:textId="77777777" w:rsidR="008D15B9" w:rsidRPr="000C65D1" w:rsidRDefault="008D15B9" w:rsidP="008D15B9">
            <w:pPr>
              <w:pStyle w:val="TableRow"/>
              <w:ind w:left="0"/>
              <w:jc w:val="center"/>
              <w:rPr>
                <w:color w:val="auto"/>
              </w:rPr>
            </w:pPr>
            <w:r w:rsidRPr="000C65D1">
              <w:rPr>
                <w:color w:val="auto"/>
              </w:rPr>
              <w:t>10%</w:t>
            </w:r>
          </w:p>
        </w:tc>
        <w:tc>
          <w:tcPr>
            <w:tcW w:w="147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7F52CA" w14:textId="77777777" w:rsidR="006374D0" w:rsidRPr="000C65D1" w:rsidRDefault="008D15B9" w:rsidP="008D15B9">
            <w:pPr>
              <w:pStyle w:val="TableRow"/>
              <w:ind w:left="0"/>
              <w:jc w:val="center"/>
            </w:pPr>
            <w:r w:rsidRPr="000C65D1">
              <w:t>-9%</w:t>
            </w:r>
          </w:p>
          <w:p w14:paraId="3B98132F" w14:textId="77777777" w:rsidR="008D15B9" w:rsidRPr="000C65D1" w:rsidRDefault="008D15B9" w:rsidP="008D15B9">
            <w:pPr>
              <w:pStyle w:val="TableRow"/>
              <w:ind w:left="0"/>
              <w:jc w:val="center"/>
            </w:pPr>
            <w:r w:rsidRPr="000C65D1">
              <w:t>-4%</w:t>
            </w:r>
          </w:p>
        </w:tc>
        <w:tc>
          <w:tcPr>
            <w:tcW w:w="71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24B908" w14:textId="77777777" w:rsidR="006374D0" w:rsidRPr="000C65D1" w:rsidRDefault="0083637B" w:rsidP="008D15B9">
            <w:pPr>
              <w:pStyle w:val="TableRow"/>
              <w:ind w:left="0"/>
              <w:jc w:val="center"/>
            </w:pPr>
            <w:r w:rsidRPr="000C65D1">
              <w:t>69%</w:t>
            </w:r>
          </w:p>
          <w:p w14:paraId="1FDB4246" w14:textId="77777777" w:rsidR="006374D0" w:rsidRPr="000C65D1" w:rsidRDefault="0083637B" w:rsidP="008D15B9">
            <w:pPr>
              <w:pStyle w:val="TableRow"/>
              <w:ind w:left="0"/>
              <w:jc w:val="center"/>
            </w:pPr>
            <w:r w:rsidRPr="000C65D1">
              <w:t>13%</w:t>
            </w:r>
          </w:p>
        </w:tc>
        <w:tc>
          <w:tcPr>
            <w:tcW w:w="3953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8A2D27" w14:textId="77777777" w:rsidR="006374D0" w:rsidRPr="000C65D1" w:rsidRDefault="008D15B9" w:rsidP="008D15B9">
            <w:pPr>
              <w:pStyle w:val="TableRow"/>
              <w:ind w:left="0"/>
              <w:jc w:val="center"/>
            </w:pPr>
            <w:r w:rsidRPr="000C65D1">
              <w:t>-10%</w:t>
            </w:r>
          </w:p>
          <w:p w14:paraId="04F31414" w14:textId="77777777" w:rsidR="008D15B9" w:rsidRPr="000C65D1" w:rsidRDefault="008D15B9" w:rsidP="008D15B9">
            <w:pPr>
              <w:pStyle w:val="TableRow"/>
              <w:ind w:left="0"/>
              <w:jc w:val="center"/>
            </w:pPr>
            <w:r w:rsidRPr="000C65D1">
              <w:t>-7%</w:t>
            </w:r>
          </w:p>
        </w:tc>
      </w:tr>
      <w:tr w:rsidR="006374D0" w14:paraId="42958F89" w14:textId="77777777">
        <w:trPr>
          <w:trHeight w:val="381"/>
        </w:trPr>
        <w:tc>
          <w:tcPr>
            <w:tcW w:w="64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EB838" w14:textId="77777777" w:rsidR="006374D0" w:rsidRPr="000C65D1" w:rsidRDefault="0083637B">
            <w:pPr>
              <w:pStyle w:val="TableRow"/>
              <w:rPr>
                <w:rFonts w:cs="Calibri"/>
                <w:b/>
                <w:bCs/>
                <w:sz w:val="22"/>
                <w:szCs w:val="22"/>
              </w:rPr>
            </w:pPr>
            <w:r w:rsidRPr="000C65D1">
              <w:rPr>
                <w:rFonts w:cs="Calibri"/>
                <w:b/>
                <w:bCs/>
                <w:sz w:val="22"/>
                <w:szCs w:val="22"/>
              </w:rPr>
              <w:t>End of Key Stage 2 (Year 6) attainment – unvalidated</w:t>
            </w:r>
          </w:p>
        </w:tc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DEB54" w14:textId="77777777" w:rsidR="006374D0" w:rsidRPr="000C65D1" w:rsidRDefault="006374D0" w:rsidP="008D15B9">
            <w:pPr>
              <w:pStyle w:val="TableRow"/>
              <w:jc w:val="center"/>
            </w:pPr>
          </w:p>
        </w:tc>
        <w:tc>
          <w:tcPr>
            <w:tcW w:w="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79A4B9" w14:textId="77777777" w:rsidR="006374D0" w:rsidRPr="000C65D1" w:rsidRDefault="006374D0" w:rsidP="008D15B9">
            <w:pPr>
              <w:pStyle w:val="TableRow"/>
              <w:ind w:left="0"/>
              <w:jc w:val="center"/>
            </w:pPr>
          </w:p>
        </w:tc>
        <w:tc>
          <w:tcPr>
            <w:tcW w:w="147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B11152" w14:textId="77777777" w:rsidR="006374D0" w:rsidRPr="000C65D1" w:rsidRDefault="006374D0" w:rsidP="008D15B9">
            <w:pPr>
              <w:pStyle w:val="TableRow"/>
              <w:ind w:left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1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F22E8A" w14:textId="77777777" w:rsidR="006374D0" w:rsidRPr="000C65D1" w:rsidRDefault="006374D0" w:rsidP="008D15B9">
            <w:pPr>
              <w:pStyle w:val="TableRow"/>
              <w:ind w:left="0"/>
              <w:jc w:val="center"/>
            </w:pPr>
          </w:p>
        </w:tc>
        <w:tc>
          <w:tcPr>
            <w:tcW w:w="3953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F01D02" w14:textId="77777777" w:rsidR="006374D0" w:rsidRPr="000C65D1" w:rsidRDefault="006374D0" w:rsidP="008D15B9">
            <w:pPr>
              <w:pStyle w:val="TableRow"/>
              <w:ind w:left="0"/>
              <w:jc w:val="center"/>
            </w:pPr>
          </w:p>
        </w:tc>
      </w:tr>
      <w:tr w:rsidR="006374D0" w14:paraId="4C938802" w14:textId="77777777">
        <w:trPr>
          <w:trHeight w:val="381"/>
        </w:trPr>
        <w:tc>
          <w:tcPr>
            <w:tcW w:w="64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046A2" w14:textId="77777777" w:rsidR="006374D0" w:rsidRPr="000C65D1" w:rsidRDefault="0083637B">
            <w:pPr>
              <w:pStyle w:val="TableRow"/>
              <w:rPr>
                <w:rFonts w:cs="Calibri"/>
                <w:sz w:val="22"/>
                <w:szCs w:val="22"/>
              </w:rPr>
            </w:pPr>
            <w:r w:rsidRPr="000C65D1">
              <w:rPr>
                <w:rFonts w:cs="Calibri"/>
                <w:sz w:val="22"/>
                <w:szCs w:val="22"/>
              </w:rPr>
              <w:t>Meeting expected standard in reading</w:t>
            </w:r>
          </w:p>
          <w:p w14:paraId="4B929E80" w14:textId="77777777" w:rsidR="006374D0" w:rsidRPr="000C65D1" w:rsidRDefault="0083637B">
            <w:pPr>
              <w:pStyle w:val="TableRow"/>
            </w:pPr>
            <w:r w:rsidRPr="000C65D1">
              <w:rPr>
                <w:rFonts w:cs="Calibri"/>
                <w:sz w:val="22"/>
                <w:szCs w:val="22"/>
              </w:rPr>
              <w:t>Achieving high standard in reading</w:t>
            </w:r>
          </w:p>
        </w:tc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772D5" w14:textId="77777777" w:rsidR="006374D0" w:rsidRPr="000C65D1" w:rsidRDefault="0083637B" w:rsidP="008D15B9">
            <w:pPr>
              <w:pStyle w:val="TableRow"/>
              <w:jc w:val="center"/>
            </w:pPr>
            <w:r w:rsidRPr="000C65D1">
              <w:t>72%  20%</w:t>
            </w:r>
          </w:p>
        </w:tc>
        <w:tc>
          <w:tcPr>
            <w:tcW w:w="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5D4985" w14:textId="77777777" w:rsidR="006374D0" w:rsidRPr="000C65D1" w:rsidRDefault="0083637B" w:rsidP="008D15B9">
            <w:pPr>
              <w:pStyle w:val="TableRow"/>
              <w:ind w:left="0"/>
              <w:jc w:val="center"/>
            </w:pPr>
            <w:r w:rsidRPr="000C65D1">
              <w:t>83%   26%</w:t>
            </w:r>
          </w:p>
        </w:tc>
        <w:tc>
          <w:tcPr>
            <w:tcW w:w="147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DA3B9F" w14:textId="77777777" w:rsidR="006374D0" w:rsidRPr="000C65D1" w:rsidRDefault="0083637B" w:rsidP="008D15B9">
            <w:pPr>
              <w:pStyle w:val="TableRow"/>
              <w:ind w:left="0"/>
              <w:jc w:val="center"/>
            </w:pPr>
            <w:r w:rsidRPr="000C65D1">
              <w:rPr>
                <w:color w:val="auto"/>
              </w:rPr>
              <w:t>-11%              -6%</w:t>
            </w:r>
          </w:p>
        </w:tc>
        <w:tc>
          <w:tcPr>
            <w:tcW w:w="71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2E2778" w14:textId="77777777" w:rsidR="006374D0" w:rsidRPr="000C65D1" w:rsidRDefault="0083637B" w:rsidP="008D15B9">
            <w:pPr>
              <w:pStyle w:val="TableRow"/>
              <w:ind w:left="0"/>
              <w:jc w:val="center"/>
            </w:pPr>
            <w:r w:rsidRPr="000C65D1">
              <w:t>78%</w:t>
            </w:r>
          </w:p>
          <w:p w14:paraId="1BACDEDE" w14:textId="77777777" w:rsidR="006374D0" w:rsidRPr="000C65D1" w:rsidRDefault="0083637B" w:rsidP="008D15B9">
            <w:pPr>
              <w:pStyle w:val="TableRow"/>
              <w:ind w:left="0"/>
              <w:jc w:val="center"/>
            </w:pPr>
            <w:r w:rsidRPr="000C65D1">
              <w:t>31%</w:t>
            </w:r>
          </w:p>
        </w:tc>
        <w:tc>
          <w:tcPr>
            <w:tcW w:w="3953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EADEF" w14:textId="77777777" w:rsidR="006374D0" w:rsidRPr="000C65D1" w:rsidRDefault="0083637B" w:rsidP="008D15B9">
            <w:pPr>
              <w:pStyle w:val="TableRow"/>
              <w:ind w:left="0"/>
              <w:jc w:val="center"/>
            </w:pPr>
            <w:r w:rsidRPr="000C65D1">
              <w:t>-6%                                                       -11%</w:t>
            </w:r>
          </w:p>
        </w:tc>
      </w:tr>
      <w:tr w:rsidR="006374D0" w14:paraId="09ECE243" w14:textId="77777777">
        <w:trPr>
          <w:trHeight w:val="381"/>
        </w:trPr>
        <w:tc>
          <w:tcPr>
            <w:tcW w:w="64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59AEE" w14:textId="77777777" w:rsidR="006374D0" w:rsidRPr="000C65D1" w:rsidRDefault="0083637B">
            <w:pPr>
              <w:pStyle w:val="TableRow"/>
              <w:rPr>
                <w:rFonts w:cs="Calibri"/>
                <w:sz w:val="22"/>
                <w:szCs w:val="22"/>
              </w:rPr>
            </w:pPr>
            <w:r w:rsidRPr="000C65D1">
              <w:rPr>
                <w:rFonts w:cs="Calibri"/>
                <w:sz w:val="22"/>
                <w:szCs w:val="22"/>
              </w:rPr>
              <w:t>Meeting expected standard in writing</w:t>
            </w:r>
          </w:p>
          <w:p w14:paraId="67A56D02" w14:textId="77777777" w:rsidR="006374D0" w:rsidRPr="000C65D1" w:rsidRDefault="0083637B">
            <w:pPr>
              <w:pStyle w:val="TableRow"/>
            </w:pPr>
            <w:r w:rsidRPr="000C65D1">
              <w:rPr>
                <w:rFonts w:cs="Calibri"/>
                <w:sz w:val="22"/>
                <w:szCs w:val="22"/>
              </w:rPr>
              <w:t>Achieving high standard in writing</w:t>
            </w:r>
          </w:p>
        </w:tc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3C9AE" w14:textId="77777777" w:rsidR="006374D0" w:rsidRPr="000C65D1" w:rsidRDefault="0083637B" w:rsidP="008D15B9">
            <w:pPr>
              <w:pStyle w:val="TableRow"/>
              <w:jc w:val="center"/>
            </w:pPr>
            <w:r w:rsidRPr="000C65D1">
              <w:t>75%   11%</w:t>
            </w:r>
          </w:p>
        </w:tc>
        <w:tc>
          <w:tcPr>
            <w:tcW w:w="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6CFDE4" w14:textId="77777777" w:rsidR="006374D0" w:rsidRPr="000C65D1" w:rsidRDefault="0083637B" w:rsidP="008D15B9">
            <w:pPr>
              <w:pStyle w:val="TableRow"/>
              <w:ind w:left="0"/>
              <w:jc w:val="center"/>
            </w:pPr>
            <w:r w:rsidRPr="000C65D1">
              <w:t>95%    20%</w:t>
            </w:r>
          </w:p>
        </w:tc>
        <w:tc>
          <w:tcPr>
            <w:tcW w:w="147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54D9F7" w14:textId="77777777" w:rsidR="006374D0" w:rsidRPr="000C65D1" w:rsidRDefault="0083637B" w:rsidP="008D15B9">
            <w:pPr>
              <w:pStyle w:val="TableRow"/>
              <w:ind w:left="0"/>
              <w:jc w:val="center"/>
            </w:pPr>
            <w:r w:rsidRPr="000C65D1">
              <w:rPr>
                <w:color w:val="auto"/>
              </w:rPr>
              <w:t>-20%              -9%</w:t>
            </w:r>
          </w:p>
        </w:tc>
        <w:tc>
          <w:tcPr>
            <w:tcW w:w="71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3A8CCE" w14:textId="77777777" w:rsidR="006374D0" w:rsidRPr="000C65D1" w:rsidRDefault="0083637B" w:rsidP="008D15B9">
            <w:pPr>
              <w:pStyle w:val="TableRow"/>
              <w:ind w:left="0"/>
              <w:jc w:val="center"/>
            </w:pPr>
            <w:r w:rsidRPr="000C65D1">
              <w:t>83%</w:t>
            </w:r>
          </w:p>
          <w:p w14:paraId="38389DE4" w14:textId="77777777" w:rsidR="006374D0" w:rsidRPr="000C65D1" w:rsidRDefault="0083637B" w:rsidP="008D15B9">
            <w:pPr>
              <w:pStyle w:val="TableRow"/>
              <w:ind w:left="0"/>
              <w:jc w:val="center"/>
            </w:pPr>
            <w:r w:rsidRPr="000C65D1">
              <w:t>24%</w:t>
            </w:r>
          </w:p>
        </w:tc>
        <w:tc>
          <w:tcPr>
            <w:tcW w:w="3953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0E129C" w14:textId="77777777" w:rsidR="006374D0" w:rsidRPr="000C65D1" w:rsidRDefault="0083637B" w:rsidP="008D15B9">
            <w:pPr>
              <w:pStyle w:val="TableRow"/>
              <w:ind w:left="0"/>
              <w:jc w:val="center"/>
            </w:pPr>
            <w:r w:rsidRPr="000C65D1">
              <w:t>-8%                                                        -13%</w:t>
            </w:r>
          </w:p>
        </w:tc>
      </w:tr>
      <w:tr w:rsidR="006374D0" w14:paraId="36252961" w14:textId="77777777">
        <w:trPr>
          <w:trHeight w:val="381"/>
        </w:trPr>
        <w:tc>
          <w:tcPr>
            <w:tcW w:w="64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0D3EB" w14:textId="77777777" w:rsidR="006374D0" w:rsidRPr="000C65D1" w:rsidRDefault="0083637B">
            <w:pPr>
              <w:pStyle w:val="TableRow"/>
              <w:rPr>
                <w:rFonts w:cs="Calibri"/>
                <w:sz w:val="22"/>
                <w:szCs w:val="22"/>
              </w:rPr>
            </w:pPr>
            <w:r w:rsidRPr="000C65D1">
              <w:rPr>
                <w:rFonts w:cs="Calibri"/>
                <w:sz w:val="22"/>
                <w:szCs w:val="22"/>
              </w:rPr>
              <w:t>Meeting expected standard in mathematics</w:t>
            </w:r>
          </w:p>
          <w:p w14:paraId="1DBEC553" w14:textId="77777777" w:rsidR="006374D0" w:rsidRPr="000C65D1" w:rsidRDefault="0083637B">
            <w:pPr>
              <w:pStyle w:val="TableRow"/>
            </w:pPr>
            <w:r w:rsidRPr="000C65D1">
              <w:rPr>
                <w:rFonts w:cs="Calibri"/>
                <w:sz w:val="22"/>
                <w:szCs w:val="22"/>
              </w:rPr>
              <w:t>Achieving high standard in mathematics</w:t>
            </w:r>
          </w:p>
        </w:tc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4CAA8" w14:textId="77777777" w:rsidR="006374D0" w:rsidRPr="000C65D1" w:rsidRDefault="0083637B" w:rsidP="008D15B9">
            <w:pPr>
              <w:pStyle w:val="TableRow"/>
              <w:jc w:val="center"/>
            </w:pPr>
            <w:r w:rsidRPr="000C65D1">
              <w:t>73%   15%</w:t>
            </w:r>
          </w:p>
        </w:tc>
        <w:tc>
          <w:tcPr>
            <w:tcW w:w="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FF7023" w14:textId="77777777" w:rsidR="006374D0" w:rsidRPr="000C65D1" w:rsidRDefault="0083637B" w:rsidP="008D15B9">
            <w:pPr>
              <w:pStyle w:val="TableRow"/>
              <w:ind w:left="0"/>
              <w:jc w:val="center"/>
            </w:pPr>
            <w:r w:rsidRPr="000C65D1">
              <w:t>88%  24%</w:t>
            </w:r>
          </w:p>
        </w:tc>
        <w:tc>
          <w:tcPr>
            <w:tcW w:w="147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7DD825" w14:textId="77777777" w:rsidR="006374D0" w:rsidRPr="000C65D1" w:rsidRDefault="0083637B" w:rsidP="008D15B9">
            <w:pPr>
              <w:pStyle w:val="TableRow"/>
              <w:ind w:left="0"/>
              <w:jc w:val="center"/>
            </w:pPr>
            <w:r w:rsidRPr="000C65D1">
              <w:rPr>
                <w:color w:val="auto"/>
              </w:rPr>
              <w:t>-16%              -11%</w:t>
            </w:r>
          </w:p>
        </w:tc>
        <w:tc>
          <w:tcPr>
            <w:tcW w:w="71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D9A65B" w14:textId="77777777" w:rsidR="006374D0" w:rsidRPr="000C65D1" w:rsidRDefault="0083637B" w:rsidP="008D15B9">
            <w:pPr>
              <w:pStyle w:val="TableRow"/>
              <w:ind w:left="0"/>
              <w:jc w:val="center"/>
            </w:pPr>
            <w:r w:rsidRPr="000C65D1">
              <w:t>84%</w:t>
            </w:r>
          </w:p>
          <w:p w14:paraId="5ECFE39F" w14:textId="77777777" w:rsidR="006374D0" w:rsidRPr="000C65D1" w:rsidRDefault="0083637B" w:rsidP="008D15B9">
            <w:pPr>
              <w:pStyle w:val="TableRow"/>
              <w:ind w:left="0"/>
              <w:jc w:val="center"/>
            </w:pPr>
            <w:r w:rsidRPr="000C65D1">
              <w:t>31%</w:t>
            </w:r>
          </w:p>
        </w:tc>
        <w:tc>
          <w:tcPr>
            <w:tcW w:w="3953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5C408C" w14:textId="77777777" w:rsidR="006374D0" w:rsidRPr="000C65D1" w:rsidRDefault="0083637B" w:rsidP="008D15B9">
            <w:pPr>
              <w:pStyle w:val="TableRow"/>
              <w:ind w:left="0"/>
              <w:jc w:val="center"/>
            </w:pPr>
            <w:r w:rsidRPr="000C65D1">
              <w:t>-12%                                                      -17%</w:t>
            </w:r>
          </w:p>
        </w:tc>
      </w:tr>
      <w:tr w:rsidR="006374D0" w14:paraId="4DC3E01F" w14:textId="77777777">
        <w:trPr>
          <w:trHeight w:val="20"/>
        </w:trPr>
        <w:tc>
          <w:tcPr>
            <w:tcW w:w="64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14501" w14:textId="77777777" w:rsidR="006374D0" w:rsidRPr="000C65D1" w:rsidRDefault="0083637B">
            <w:pPr>
              <w:pStyle w:val="TableRow"/>
              <w:rPr>
                <w:rFonts w:cs="Calibri"/>
                <w:sz w:val="20"/>
                <w:szCs w:val="20"/>
              </w:rPr>
            </w:pPr>
            <w:r w:rsidRPr="000C65D1">
              <w:rPr>
                <w:rFonts w:cs="Calibri"/>
                <w:sz w:val="20"/>
                <w:szCs w:val="20"/>
              </w:rPr>
              <w:t>Meeting expected standard in grammar punctuation &amp; spelling</w:t>
            </w:r>
          </w:p>
          <w:p w14:paraId="0DB11E3E" w14:textId="77777777" w:rsidR="006374D0" w:rsidRPr="000C65D1" w:rsidRDefault="0083637B">
            <w:pPr>
              <w:pStyle w:val="TableRow"/>
              <w:rPr>
                <w:rFonts w:cs="Calibri"/>
                <w:sz w:val="22"/>
                <w:szCs w:val="22"/>
              </w:rPr>
            </w:pPr>
            <w:r w:rsidRPr="000C65D1">
              <w:rPr>
                <w:rFonts w:cs="Calibri"/>
                <w:sz w:val="22"/>
                <w:szCs w:val="22"/>
              </w:rPr>
              <w:t>Achieving high standard in grammar punctuation &amp; spelling</w:t>
            </w:r>
          </w:p>
          <w:p w14:paraId="5EE1F30F" w14:textId="77777777" w:rsidR="006374D0" w:rsidRPr="000C65D1" w:rsidRDefault="006374D0">
            <w:pPr>
              <w:pStyle w:val="TableRow"/>
              <w:rPr>
                <w:rFonts w:cs="Calibri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DB4E6" w14:textId="00A6D6E7" w:rsidR="008D15B9" w:rsidRPr="000C65D1" w:rsidRDefault="00B07CA5" w:rsidP="008D15B9">
            <w:pPr>
              <w:pStyle w:val="TableRow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66% 25%</w:t>
            </w:r>
          </w:p>
        </w:tc>
        <w:tc>
          <w:tcPr>
            <w:tcW w:w="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A1A85C" w14:textId="77777777" w:rsidR="006374D0" w:rsidRPr="000C65D1" w:rsidRDefault="008D15B9" w:rsidP="008D15B9">
            <w:pPr>
              <w:pStyle w:val="TableRow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0C65D1">
              <w:rPr>
                <w:color w:val="auto"/>
                <w:sz w:val="22"/>
                <w:szCs w:val="22"/>
              </w:rPr>
              <w:t>85%</w:t>
            </w:r>
          </w:p>
          <w:p w14:paraId="2DC48BDE" w14:textId="77777777" w:rsidR="008D15B9" w:rsidRPr="000C65D1" w:rsidRDefault="008D15B9" w:rsidP="008D15B9">
            <w:pPr>
              <w:pStyle w:val="TableRow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0C65D1">
              <w:rPr>
                <w:color w:val="auto"/>
                <w:sz w:val="22"/>
                <w:szCs w:val="22"/>
              </w:rPr>
              <w:t>39%</w:t>
            </w:r>
          </w:p>
        </w:tc>
        <w:tc>
          <w:tcPr>
            <w:tcW w:w="147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369132" w14:textId="77777777" w:rsidR="006374D0" w:rsidRPr="000C65D1" w:rsidRDefault="008D15B9" w:rsidP="008D15B9">
            <w:pPr>
              <w:pStyle w:val="TableRow"/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0C65D1">
              <w:rPr>
                <w:bCs/>
                <w:color w:val="auto"/>
                <w:sz w:val="22"/>
                <w:szCs w:val="22"/>
              </w:rPr>
              <w:t>-19%</w:t>
            </w:r>
          </w:p>
          <w:p w14:paraId="106D2B4B" w14:textId="77777777" w:rsidR="008D15B9" w:rsidRPr="000C65D1" w:rsidRDefault="008D15B9" w:rsidP="008D15B9">
            <w:pPr>
              <w:pStyle w:val="TableRow"/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0C65D1">
              <w:rPr>
                <w:bCs/>
                <w:color w:val="auto"/>
                <w:sz w:val="22"/>
                <w:szCs w:val="22"/>
              </w:rPr>
              <w:t>-14%</w:t>
            </w:r>
          </w:p>
        </w:tc>
        <w:tc>
          <w:tcPr>
            <w:tcW w:w="71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22A6F3" w14:textId="77777777" w:rsidR="006374D0" w:rsidRPr="000C65D1" w:rsidRDefault="0083637B" w:rsidP="008D15B9">
            <w:pPr>
              <w:pStyle w:val="TableRow"/>
              <w:ind w:left="0"/>
              <w:jc w:val="center"/>
              <w:rPr>
                <w:color w:val="auto"/>
              </w:rPr>
            </w:pPr>
            <w:r w:rsidRPr="000C65D1">
              <w:rPr>
                <w:color w:val="auto"/>
                <w:sz w:val="22"/>
                <w:szCs w:val="22"/>
              </w:rPr>
              <w:t>83%</w:t>
            </w:r>
          </w:p>
          <w:p w14:paraId="176B95CA" w14:textId="77777777" w:rsidR="006374D0" w:rsidRPr="000C65D1" w:rsidRDefault="0083637B" w:rsidP="008D15B9">
            <w:pPr>
              <w:pStyle w:val="TableRow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0C65D1">
              <w:rPr>
                <w:color w:val="auto"/>
                <w:sz w:val="22"/>
                <w:szCs w:val="22"/>
              </w:rPr>
              <w:t>41%</w:t>
            </w:r>
          </w:p>
        </w:tc>
        <w:tc>
          <w:tcPr>
            <w:tcW w:w="3953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5E343C" w14:textId="77777777" w:rsidR="006374D0" w:rsidRPr="000C65D1" w:rsidRDefault="008D15B9" w:rsidP="008D15B9">
            <w:pPr>
              <w:pStyle w:val="TableRow"/>
              <w:ind w:left="0"/>
              <w:jc w:val="center"/>
              <w:rPr>
                <w:color w:val="auto"/>
              </w:rPr>
            </w:pPr>
            <w:r w:rsidRPr="000C65D1">
              <w:rPr>
                <w:color w:val="auto"/>
              </w:rPr>
              <w:t>-17%</w:t>
            </w:r>
          </w:p>
          <w:p w14:paraId="5A06B112" w14:textId="77777777" w:rsidR="008D15B9" w:rsidRPr="000C65D1" w:rsidRDefault="008D15B9" w:rsidP="008D15B9">
            <w:pPr>
              <w:pStyle w:val="TableRow"/>
              <w:ind w:left="0"/>
              <w:jc w:val="center"/>
              <w:rPr>
                <w:color w:val="auto"/>
              </w:rPr>
            </w:pPr>
            <w:r w:rsidRPr="000C65D1">
              <w:rPr>
                <w:color w:val="auto"/>
              </w:rPr>
              <w:t>-16%</w:t>
            </w:r>
          </w:p>
        </w:tc>
      </w:tr>
      <w:tr w:rsidR="006374D0" w14:paraId="4EB993D0" w14:textId="77777777">
        <w:trPr>
          <w:trHeight w:val="381"/>
        </w:trPr>
        <w:tc>
          <w:tcPr>
            <w:tcW w:w="64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9E445" w14:textId="77777777" w:rsidR="006374D0" w:rsidRPr="000C65D1" w:rsidRDefault="0083637B">
            <w:pPr>
              <w:pStyle w:val="TableRow"/>
              <w:rPr>
                <w:rFonts w:cs="Calibri"/>
                <w:color w:val="auto"/>
                <w:sz w:val="22"/>
                <w:szCs w:val="22"/>
              </w:rPr>
            </w:pPr>
            <w:r w:rsidRPr="000C65D1">
              <w:rPr>
                <w:rFonts w:cs="Calibri"/>
                <w:sz w:val="22"/>
                <w:szCs w:val="22"/>
              </w:rPr>
              <w:t>Meeting the expected standard in science</w:t>
            </w:r>
          </w:p>
        </w:tc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71131" w14:textId="2C43F8CC" w:rsidR="006374D0" w:rsidRPr="000C65D1" w:rsidRDefault="00B07CA5" w:rsidP="008D15B9">
            <w:pPr>
              <w:pStyle w:val="TableRow"/>
              <w:jc w:val="center"/>
              <w:rPr>
                <w:color w:val="auto"/>
              </w:rPr>
            </w:pPr>
            <w:r>
              <w:rPr>
                <w:color w:val="auto"/>
              </w:rPr>
              <w:t>87%</w:t>
            </w:r>
          </w:p>
        </w:tc>
        <w:tc>
          <w:tcPr>
            <w:tcW w:w="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9B74D2" w14:textId="77777777" w:rsidR="006374D0" w:rsidRPr="000C65D1" w:rsidRDefault="008D15B9" w:rsidP="008D15B9">
            <w:pPr>
              <w:pStyle w:val="TableRow"/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0C65D1">
              <w:rPr>
                <w:color w:val="auto"/>
                <w:sz w:val="22"/>
                <w:szCs w:val="22"/>
              </w:rPr>
              <w:t>98%</w:t>
            </w:r>
          </w:p>
        </w:tc>
        <w:tc>
          <w:tcPr>
            <w:tcW w:w="147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DD64F8" w14:textId="77777777" w:rsidR="006374D0" w:rsidRPr="000C65D1" w:rsidRDefault="008D15B9" w:rsidP="008D15B9">
            <w:pPr>
              <w:pStyle w:val="TableRow"/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0C65D1">
              <w:rPr>
                <w:bCs/>
                <w:color w:val="auto"/>
                <w:sz w:val="22"/>
                <w:szCs w:val="22"/>
              </w:rPr>
              <w:t>-11%</w:t>
            </w:r>
          </w:p>
        </w:tc>
        <w:tc>
          <w:tcPr>
            <w:tcW w:w="71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775F46" w14:textId="77777777" w:rsidR="006374D0" w:rsidRPr="000C65D1" w:rsidRDefault="0083637B">
            <w:pPr>
              <w:pStyle w:val="TableRow"/>
              <w:ind w:left="0"/>
            </w:pPr>
            <w:r w:rsidRPr="000C65D1">
              <w:t xml:space="preserve"> </w:t>
            </w:r>
            <w:r w:rsidR="008D15B9" w:rsidRPr="000C65D1">
              <w:rPr>
                <w:sz w:val="22"/>
                <w:szCs w:val="22"/>
              </w:rPr>
              <w:t>87</w:t>
            </w:r>
            <w:r w:rsidRPr="000C65D1">
              <w:rPr>
                <w:sz w:val="22"/>
                <w:szCs w:val="22"/>
              </w:rPr>
              <w:t>%</w:t>
            </w:r>
          </w:p>
        </w:tc>
        <w:tc>
          <w:tcPr>
            <w:tcW w:w="3953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8EF0D2" w14:textId="77777777" w:rsidR="006374D0" w:rsidRPr="000C65D1" w:rsidRDefault="008D15B9" w:rsidP="008D15B9">
            <w:pPr>
              <w:pStyle w:val="TableRow"/>
              <w:ind w:left="0"/>
              <w:jc w:val="center"/>
            </w:pPr>
            <w:r w:rsidRPr="000C65D1">
              <w:t>0%</w:t>
            </w:r>
          </w:p>
        </w:tc>
      </w:tr>
      <w:tr w:rsidR="006374D0" w14:paraId="5BC1F6FC" w14:textId="77777777">
        <w:trPr>
          <w:trHeight w:val="381"/>
        </w:trPr>
        <w:tc>
          <w:tcPr>
            <w:tcW w:w="64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85F24" w14:textId="77777777" w:rsidR="006374D0" w:rsidRPr="000C65D1" w:rsidRDefault="0083637B">
            <w:pPr>
              <w:pStyle w:val="TableRow"/>
              <w:rPr>
                <w:rFonts w:cs="Calibri"/>
                <w:sz w:val="22"/>
                <w:szCs w:val="22"/>
              </w:rPr>
            </w:pPr>
            <w:r w:rsidRPr="000C65D1">
              <w:rPr>
                <w:rFonts w:cs="Calibri"/>
                <w:sz w:val="22"/>
                <w:szCs w:val="22"/>
              </w:rPr>
              <w:t>Meeting expected standard in reading, writing &amp; maths</w:t>
            </w:r>
          </w:p>
          <w:p w14:paraId="7F16B3FA" w14:textId="77777777" w:rsidR="006374D0" w:rsidRPr="000C65D1" w:rsidRDefault="0083637B">
            <w:pPr>
              <w:pStyle w:val="TableRow"/>
              <w:rPr>
                <w:rFonts w:cs="Calibri"/>
                <w:sz w:val="22"/>
                <w:szCs w:val="22"/>
              </w:rPr>
            </w:pPr>
            <w:r w:rsidRPr="000C65D1">
              <w:rPr>
                <w:rFonts w:cs="Calibri"/>
                <w:sz w:val="22"/>
                <w:szCs w:val="22"/>
              </w:rPr>
              <w:t>Achieving high standard in reading, writing and maths</w:t>
            </w:r>
          </w:p>
        </w:tc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37E19" w14:textId="77777777" w:rsidR="006374D0" w:rsidRPr="000C65D1" w:rsidRDefault="0083637B">
            <w:pPr>
              <w:pStyle w:val="TableRow"/>
              <w:jc w:val="center"/>
            </w:pPr>
            <w:r w:rsidRPr="000C65D1">
              <w:t>57%   8%</w:t>
            </w:r>
          </w:p>
        </w:tc>
        <w:tc>
          <w:tcPr>
            <w:tcW w:w="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095DBA" w14:textId="77777777" w:rsidR="006374D0" w:rsidRPr="000C65D1" w:rsidRDefault="0083637B">
            <w:pPr>
              <w:pStyle w:val="TableRow"/>
              <w:ind w:left="0"/>
              <w:jc w:val="center"/>
            </w:pPr>
            <w:r w:rsidRPr="000C65D1">
              <w:t>75%     10%</w:t>
            </w:r>
          </w:p>
        </w:tc>
        <w:tc>
          <w:tcPr>
            <w:tcW w:w="147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5D577B" w14:textId="77777777" w:rsidR="006374D0" w:rsidRPr="000C65D1" w:rsidRDefault="0083637B">
            <w:pPr>
              <w:pStyle w:val="TableRow"/>
              <w:ind w:left="0"/>
              <w:jc w:val="center"/>
            </w:pPr>
            <w:r w:rsidRPr="000C65D1">
              <w:rPr>
                <w:color w:val="auto"/>
              </w:rPr>
              <w:t>-18%              -2%</w:t>
            </w:r>
          </w:p>
        </w:tc>
        <w:tc>
          <w:tcPr>
            <w:tcW w:w="71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F1B1EB" w14:textId="77777777" w:rsidR="006374D0" w:rsidRPr="000C65D1" w:rsidRDefault="0083637B">
            <w:pPr>
              <w:pStyle w:val="TableRow"/>
              <w:ind w:left="0"/>
              <w:rPr>
                <w:sz w:val="22"/>
                <w:szCs w:val="22"/>
              </w:rPr>
            </w:pPr>
            <w:r w:rsidRPr="000C65D1">
              <w:rPr>
                <w:sz w:val="22"/>
                <w:szCs w:val="22"/>
              </w:rPr>
              <w:t xml:space="preserve"> 71%  </w:t>
            </w:r>
          </w:p>
          <w:p w14:paraId="1A4372F8" w14:textId="77777777" w:rsidR="006374D0" w:rsidRPr="000C65D1" w:rsidRDefault="0083637B">
            <w:pPr>
              <w:pStyle w:val="TableRow"/>
              <w:ind w:left="0"/>
              <w:rPr>
                <w:sz w:val="22"/>
                <w:szCs w:val="22"/>
              </w:rPr>
            </w:pPr>
            <w:r w:rsidRPr="000C65D1">
              <w:rPr>
                <w:sz w:val="22"/>
                <w:szCs w:val="22"/>
              </w:rPr>
              <w:t xml:space="preserve"> 13%</w:t>
            </w:r>
          </w:p>
        </w:tc>
        <w:tc>
          <w:tcPr>
            <w:tcW w:w="3953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9E4B78" w14:textId="77777777" w:rsidR="006374D0" w:rsidRPr="000C65D1" w:rsidRDefault="0083637B">
            <w:pPr>
              <w:pStyle w:val="TableRow"/>
              <w:ind w:left="0"/>
              <w:jc w:val="center"/>
            </w:pPr>
            <w:r w:rsidRPr="000C65D1">
              <w:t>-14%                                                             -5%</w:t>
            </w:r>
          </w:p>
        </w:tc>
      </w:tr>
      <w:tr w:rsidR="006374D0" w14:paraId="09517FC4" w14:textId="77777777">
        <w:trPr>
          <w:trHeight w:val="381"/>
        </w:trPr>
        <w:tc>
          <w:tcPr>
            <w:tcW w:w="64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D0AD2" w14:textId="77777777" w:rsidR="006374D0" w:rsidRPr="000C65D1" w:rsidRDefault="0083637B">
            <w:pPr>
              <w:pStyle w:val="TableRow"/>
              <w:rPr>
                <w:rFonts w:cs="Calibri"/>
                <w:sz w:val="22"/>
                <w:szCs w:val="22"/>
              </w:rPr>
            </w:pPr>
            <w:r w:rsidRPr="000C65D1">
              <w:rPr>
                <w:rFonts w:cs="Calibri"/>
                <w:sz w:val="22"/>
                <w:szCs w:val="22"/>
              </w:rPr>
              <w:t xml:space="preserve">Absence % reception to Year 6 </w:t>
            </w:r>
          </w:p>
          <w:p w14:paraId="4A04FBFF" w14:textId="77777777" w:rsidR="006374D0" w:rsidRPr="000C65D1" w:rsidRDefault="0083637B">
            <w:pPr>
              <w:pStyle w:val="TableRow"/>
              <w:rPr>
                <w:rFonts w:cs="Calibri"/>
                <w:sz w:val="22"/>
                <w:szCs w:val="22"/>
              </w:rPr>
            </w:pPr>
            <w:r w:rsidRPr="000C65D1">
              <w:rPr>
                <w:rFonts w:cs="Calibri"/>
                <w:sz w:val="22"/>
                <w:szCs w:val="22"/>
              </w:rPr>
              <w:t>(The NAO is for non-FSM in 2018)</w:t>
            </w:r>
          </w:p>
        </w:tc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43A15" w14:textId="77777777" w:rsidR="006374D0" w:rsidRPr="000C65D1" w:rsidRDefault="0083637B">
            <w:pPr>
              <w:pStyle w:val="TableRow"/>
              <w:jc w:val="center"/>
              <w:rPr>
                <w:sz w:val="22"/>
                <w:szCs w:val="22"/>
              </w:rPr>
            </w:pPr>
            <w:r w:rsidRPr="000C65D1">
              <w:rPr>
                <w:sz w:val="22"/>
                <w:szCs w:val="22"/>
              </w:rPr>
              <w:t>5.5%</w:t>
            </w:r>
          </w:p>
        </w:tc>
        <w:tc>
          <w:tcPr>
            <w:tcW w:w="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75064E" w14:textId="77777777" w:rsidR="006374D0" w:rsidRPr="000C65D1" w:rsidRDefault="0083637B">
            <w:pPr>
              <w:pStyle w:val="TableRow"/>
              <w:ind w:left="0"/>
              <w:jc w:val="center"/>
              <w:rPr>
                <w:sz w:val="22"/>
                <w:szCs w:val="22"/>
              </w:rPr>
            </w:pPr>
            <w:r w:rsidRPr="000C65D1">
              <w:rPr>
                <w:sz w:val="22"/>
                <w:szCs w:val="22"/>
              </w:rPr>
              <w:t>4.57%</w:t>
            </w:r>
          </w:p>
        </w:tc>
        <w:tc>
          <w:tcPr>
            <w:tcW w:w="147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7FAD89" w14:textId="77777777" w:rsidR="006374D0" w:rsidRPr="000C65D1" w:rsidRDefault="0083637B">
            <w:pPr>
              <w:pStyle w:val="TableRow"/>
              <w:ind w:left="0"/>
              <w:jc w:val="center"/>
            </w:pPr>
            <w:r w:rsidRPr="000C65D1">
              <w:rPr>
                <w:color w:val="auto"/>
                <w:sz w:val="22"/>
                <w:szCs w:val="22"/>
              </w:rPr>
              <w:t>0.93% higher</w:t>
            </w:r>
          </w:p>
        </w:tc>
        <w:tc>
          <w:tcPr>
            <w:tcW w:w="71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313A62" w14:textId="77777777" w:rsidR="006374D0" w:rsidRPr="000C65D1" w:rsidRDefault="0083637B">
            <w:pPr>
              <w:pStyle w:val="TableRow"/>
              <w:ind w:left="0"/>
              <w:rPr>
                <w:sz w:val="22"/>
                <w:szCs w:val="22"/>
              </w:rPr>
            </w:pPr>
            <w:r w:rsidRPr="000C65D1">
              <w:rPr>
                <w:sz w:val="22"/>
                <w:szCs w:val="22"/>
              </w:rPr>
              <w:t xml:space="preserve"> 3.7% </w:t>
            </w:r>
          </w:p>
        </w:tc>
        <w:tc>
          <w:tcPr>
            <w:tcW w:w="3953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99A4BC" w14:textId="77777777" w:rsidR="006374D0" w:rsidRPr="000C65D1" w:rsidRDefault="0083637B">
            <w:pPr>
              <w:pStyle w:val="TableRow"/>
              <w:ind w:left="0"/>
              <w:jc w:val="center"/>
            </w:pPr>
            <w:r w:rsidRPr="000C65D1">
              <w:t>1.8% higher</w:t>
            </w:r>
          </w:p>
        </w:tc>
      </w:tr>
      <w:tr w:rsidR="006374D0" w14:paraId="7B2593CD" w14:textId="77777777">
        <w:trPr>
          <w:trHeight w:val="381"/>
        </w:trPr>
        <w:tc>
          <w:tcPr>
            <w:tcW w:w="64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F2FEA" w14:textId="77777777" w:rsidR="006374D0" w:rsidRPr="000C65D1" w:rsidRDefault="0083637B">
            <w:pPr>
              <w:pStyle w:val="TableRow"/>
              <w:rPr>
                <w:rFonts w:cs="Calibri"/>
                <w:sz w:val="22"/>
                <w:szCs w:val="22"/>
              </w:rPr>
            </w:pPr>
            <w:r w:rsidRPr="000C65D1">
              <w:rPr>
                <w:rFonts w:cs="Calibri"/>
                <w:sz w:val="22"/>
                <w:szCs w:val="22"/>
              </w:rPr>
              <w:t>Persistently absent % Reception to Year 6 – pupils with an attendance rate of 90% or below.</w:t>
            </w:r>
          </w:p>
          <w:p w14:paraId="73FDCFD7" w14:textId="77777777" w:rsidR="006374D0" w:rsidRPr="000C65D1" w:rsidRDefault="0083637B">
            <w:pPr>
              <w:pStyle w:val="TableRow"/>
              <w:rPr>
                <w:rFonts w:cs="Calibri"/>
                <w:sz w:val="22"/>
                <w:szCs w:val="22"/>
              </w:rPr>
            </w:pPr>
            <w:r w:rsidRPr="000C65D1">
              <w:rPr>
                <w:rFonts w:cs="Calibri"/>
                <w:sz w:val="22"/>
                <w:szCs w:val="22"/>
              </w:rPr>
              <w:t>(The NAO is for non-FSM in 2018)</w:t>
            </w:r>
          </w:p>
        </w:tc>
        <w:tc>
          <w:tcPr>
            <w:tcW w:w="1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B4EE8" w14:textId="77777777" w:rsidR="006374D0" w:rsidRPr="000C65D1" w:rsidRDefault="0083637B">
            <w:pPr>
              <w:pStyle w:val="TableRow"/>
              <w:jc w:val="center"/>
              <w:rPr>
                <w:sz w:val="22"/>
                <w:szCs w:val="22"/>
              </w:rPr>
            </w:pPr>
            <w:r w:rsidRPr="000C65D1">
              <w:rPr>
                <w:sz w:val="22"/>
                <w:szCs w:val="22"/>
              </w:rPr>
              <w:t>15.05%</w:t>
            </w:r>
          </w:p>
        </w:tc>
        <w:tc>
          <w:tcPr>
            <w:tcW w:w="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AF1864" w14:textId="77777777" w:rsidR="006374D0" w:rsidRPr="000C65D1" w:rsidRDefault="0083637B">
            <w:pPr>
              <w:pStyle w:val="TableRow"/>
              <w:ind w:left="0"/>
              <w:jc w:val="center"/>
              <w:rPr>
                <w:sz w:val="22"/>
                <w:szCs w:val="22"/>
              </w:rPr>
            </w:pPr>
            <w:r w:rsidRPr="000C65D1">
              <w:rPr>
                <w:sz w:val="22"/>
                <w:szCs w:val="22"/>
              </w:rPr>
              <w:t>9.48%</w:t>
            </w:r>
          </w:p>
        </w:tc>
        <w:tc>
          <w:tcPr>
            <w:tcW w:w="1478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475C6B" w14:textId="77777777" w:rsidR="006374D0" w:rsidRPr="000C65D1" w:rsidRDefault="0083637B">
            <w:pPr>
              <w:pStyle w:val="TableRow"/>
              <w:ind w:left="0"/>
            </w:pPr>
            <w:r w:rsidRPr="000C65D1">
              <w:rPr>
                <w:color w:val="auto"/>
                <w:sz w:val="22"/>
                <w:szCs w:val="22"/>
              </w:rPr>
              <w:t>5.57% higher</w:t>
            </w:r>
          </w:p>
        </w:tc>
        <w:tc>
          <w:tcPr>
            <w:tcW w:w="719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B12F2B" w14:textId="77777777" w:rsidR="006374D0" w:rsidRPr="000C65D1" w:rsidRDefault="0083637B">
            <w:pPr>
              <w:pStyle w:val="TableRow"/>
              <w:ind w:left="0"/>
              <w:rPr>
                <w:sz w:val="22"/>
                <w:szCs w:val="22"/>
              </w:rPr>
            </w:pPr>
            <w:r w:rsidRPr="000C65D1">
              <w:rPr>
                <w:sz w:val="22"/>
                <w:szCs w:val="22"/>
              </w:rPr>
              <w:t xml:space="preserve"> 7.6%</w:t>
            </w:r>
          </w:p>
        </w:tc>
        <w:tc>
          <w:tcPr>
            <w:tcW w:w="3953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6B443D" w14:textId="77777777" w:rsidR="006374D0" w:rsidRPr="000C65D1" w:rsidRDefault="0083637B">
            <w:pPr>
              <w:pStyle w:val="TableRow"/>
              <w:ind w:left="0"/>
              <w:jc w:val="center"/>
            </w:pPr>
            <w:r w:rsidRPr="000C65D1">
              <w:t>7.45% higher</w:t>
            </w:r>
          </w:p>
        </w:tc>
      </w:tr>
    </w:tbl>
    <w:p w14:paraId="6BA40FCA" w14:textId="77777777" w:rsidR="006374D0" w:rsidRDefault="0083637B">
      <w:pPr>
        <w:pStyle w:val="Heading2"/>
      </w:pPr>
      <w:r>
        <w:rPr>
          <w:sz w:val="24"/>
          <w:szCs w:val="24"/>
        </w:rPr>
        <w:t xml:space="preserve">Teaching priorities for current academic year </w:t>
      </w:r>
      <w:r>
        <w:rPr>
          <w:b w:val="0"/>
          <w:bCs/>
          <w:sz w:val="24"/>
          <w:szCs w:val="24"/>
        </w:rPr>
        <w:t>(2021 targets to be added later on in 2020)</w:t>
      </w:r>
    </w:p>
    <w:tbl>
      <w:tblPr>
        <w:tblW w:w="145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5"/>
        <w:gridCol w:w="10350"/>
        <w:gridCol w:w="1710"/>
      </w:tblGrid>
      <w:tr w:rsidR="006374D0" w14:paraId="029125CE" w14:textId="77777777">
        <w:trPr>
          <w:trHeight w:val="381"/>
        </w:trPr>
        <w:tc>
          <w:tcPr>
            <w:tcW w:w="25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E9D04" w14:textId="77777777" w:rsidR="006374D0" w:rsidRDefault="0083637B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Year group</w:t>
            </w:r>
          </w:p>
        </w:tc>
        <w:tc>
          <w:tcPr>
            <w:tcW w:w="10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A53D5" w14:textId="77777777" w:rsidR="006374D0" w:rsidRDefault="0083637B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Targets</w:t>
            </w: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EE0C2" w14:textId="77777777" w:rsidR="006374D0" w:rsidRDefault="0083637B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Target date </w:t>
            </w:r>
          </w:p>
        </w:tc>
      </w:tr>
      <w:tr w:rsidR="006374D0" w14:paraId="2DCA4076" w14:textId="77777777">
        <w:trPr>
          <w:trHeight w:val="381"/>
        </w:trPr>
        <w:tc>
          <w:tcPr>
            <w:tcW w:w="25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41393" w14:textId="77777777" w:rsidR="006374D0" w:rsidRDefault="0083637B">
            <w:pPr>
              <w:pStyle w:val="TableRow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Early Years</w:t>
            </w:r>
          </w:p>
        </w:tc>
        <w:tc>
          <w:tcPr>
            <w:tcW w:w="10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FA9AC" w14:textId="77777777" w:rsidR="006374D0" w:rsidRDefault="00E0317B">
            <w:pPr>
              <w:pStyle w:val="TableRow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72</w:t>
            </w:r>
            <w:r w:rsidR="0083637B">
              <w:rPr>
                <w:sz w:val="18"/>
                <w:szCs w:val="22"/>
              </w:rPr>
              <w:t>% of cohort to achieve a good</w:t>
            </w:r>
            <w:r>
              <w:rPr>
                <w:sz w:val="18"/>
                <w:szCs w:val="22"/>
              </w:rPr>
              <w:t xml:space="preserve"> level of development (GLD).  68</w:t>
            </w:r>
            <w:r w:rsidR="0083637B">
              <w:rPr>
                <w:sz w:val="18"/>
                <w:szCs w:val="22"/>
              </w:rPr>
              <w:t xml:space="preserve"> % of pupil premium children to achieve GLD. </w:t>
            </w: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D0FF6" w14:textId="77777777" w:rsidR="006374D0" w:rsidRDefault="0083637B">
            <w:pPr>
              <w:pStyle w:val="TableRow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July 2020</w:t>
            </w:r>
          </w:p>
        </w:tc>
      </w:tr>
      <w:tr w:rsidR="006374D0" w14:paraId="6315F38F" w14:textId="77777777">
        <w:trPr>
          <w:trHeight w:val="381"/>
        </w:trPr>
        <w:tc>
          <w:tcPr>
            <w:tcW w:w="25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7BE84" w14:textId="77777777" w:rsidR="006374D0" w:rsidRDefault="0083637B">
            <w:pPr>
              <w:pStyle w:val="TableRow"/>
              <w:rPr>
                <w:rFonts w:cs="Calibri"/>
                <w:sz w:val="18"/>
                <w:szCs w:val="22"/>
              </w:rPr>
            </w:pPr>
            <w:r>
              <w:rPr>
                <w:rFonts w:cs="Calibri"/>
                <w:sz w:val="18"/>
                <w:szCs w:val="22"/>
              </w:rPr>
              <w:t xml:space="preserve">Year 1 Phonics Check </w:t>
            </w:r>
          </w:p>
        </w:tc>
        <w:tc>
          <w:tcPr>
            <w:tcW w:w="10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4AB05" w14:textId="77777777" w:rsidR="006374D0" w:rsidRDefault="00E0317B">
            <w:pPr>
              <w:pStyle w:val="TableRow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80</w:t>
            </w:r>
            <w:r w:rsidR="0083637B">
              <w:rPr>
                <w:sz w:val="18"/>
                <w:szCs w:val="22"/>
              </w:rPr>
              <w:t xml:space="preserve">% of cohort </w:t>
            </w:r>
            <w:r>
              <w:rPr>
                <w:sz w:val="18"/>
                <w:szCs w:val="22"/>
              </w:rPr>
              <w:t>to pass the phonics check and 76</w:t>
            </w:r>
            <w:r w:rsidR="0083637B">
              <w:rPr>
                <w:sz w:val="18"/>
                <w:szCs w:val="22"/>
              </w:rPr>
              <w:t xml:space="preserve">% of pupil premium learners to pass the test. </w:t>
            </w: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182DB" w14:textId="77777777" w:rsidR="006374D0" w:rsidRDefault="0083637B">
            <w:pPr>
              <w:pStyle w:val="TableRow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July 2020</w:t>
            </w:r>
          </w:p>
        </w:tc>
      </w:tr>
      <w:tr w:rsidR="006374D0" w14:paraId="5C864625" w14:textId="77777777">
        <w:trPr>
          <w:trHeight w:val="144"/>
        </w:trPr>
        <w:tc>
          <w:tcPr>
            <w:tcW w:w="25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D9EBF" w14:textId="77777777" w:rsidR="006374D0" w:rsidRDefault="0083637B">
            <w:pPr>
              <w:pStyle w:val="TableRow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Attainment– Year 2 (End of KS1)</w:t>
            </w:r>
          </w:p>
          <w:p w14:paraId="5D2FF182" w14:textId="77777777" w:rsidR="006374D0" w:rsidRDefault="006374D0">
            <w:pPr>
              <w:pStyle w:val="TableRow"/>
              <w:rPr>
                <w:b/>
                <w:bCs/>
                <w:color w:val="FF0000"/>
                <w:sz w:val="18"/>
                <w:szCs w:val="22"/>
              </w:rPr>
            </w:pPr>
          </w:p>
        </w:tc>
        <w:tc>
          <w:tcPr>
            <w:tcW w:w="10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0E631" w14:textId="77777777" w:rsidR="006374D0" w:rsidRDefault="0083637B">
            <w:pPr>
              <w:pStyle w:val="TableRow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Reading</w:t>
            </w:r>
          </w:p>
          <w:p w14:paraId="219B90BD" w14:textId="77777777" w:rsidR="006374D0" w:rsidRDefault="00E0317B">
            <w:pPr>
              <w:pStyle w:val="TableRow"/>
              <w:numPr>
                <w:ilvl w:val="0"/>
                <w:numId w:val="20"/>
              </w:numPr>
              <w:ind w:left="320" w:hanging="283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78</w:t>
            </w:r>
            <w:r w:rsidR="0083637B">
              <w:rPr>
                <w:sz w:val="18"/>
                <w:szCs w:val="22"/>
              </w:rPr>
              <w:t>% of cohort to re</w:t>
            </w:r>
            <w:r>
              <w:rPr>
                <w:sz w:val="18"/>
                <w:szCs w:val="22"/>
              </w:rPr>
              <w:t>ach the expected standard and 71</w:t>
            </w:r>
            <w:r w:rsidR="0083637B">
              <w:rPr>
                <w:sz w:val="18"/>
                <w:szCs w:val="22"/>
              </w:rPr>
              <w:t>% of the Pupil Premium Learners.</w:t>
            </w:r>
          </w:p>
          <w:p w14:paraId="680C5935" w14:textId="77777777" w:rsidR="006374D0" w:rsidRDefault="00E0317B">
            <w:pPr>
              <w:pStyle w:val="TableRow"/>
              <w:numPr>
                <w:ilvl w:val="0"/>
                <w:numId w:val="20"/>
              </w:numPr>
              <w:ind w:left="320" w:hanging="283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22</w:t>
            </w:r>
            <w:r w:rsidR="0083637B">
              <w:rPr>
                <w:sz w:val="18"/>
                <w:szCs w:val="22"/>
              </w:rPr>
              <w:t xml:space="preserve">% of cohort to </w:t>
            </w:r>
            <w:r>
              <w:rPr>
                <w:sz w:val="18"/>
                <w:szCs w:val="22"/>
              </w:rPr>
              <w:t>reach the higher standard and 21</w:t>
            </w:r>
            <w:r w:rsidR="0083637B">
              <w:rPr>
                <w:sz w:val="18"/>
                <w:szCs w:val="22"/>
              </w:rPr>
              <w:t>% of Pupil Premium Learners</w:t>
            </w:r>
          </w:p>
          <w:p w14:paraId="3CC72916" w14:textId="77777777" w:rsidR="006374D0" w:rsidRDefault="0083637B">
            <w:pPr>
              <w:pStyle w:val="TableRow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Writing</w:t>
            </w:r>
          </w:p>
          <w:p w14:paraId="3F7FFADF" w14:textId="77777777" w:rsidR="006374D0" w:rsidRDefault="00E0317B">
            <w:pPr>
              <w:pStyle w:val="TableRow"/>
              <w:numPr>
                <w:ilvl w:val="0"/>
                <w:numId w:val="21"/>
              </w:numPr>
              <w:ind w:left="320" w:hanging="283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73</w:t>
            </w:r>
            <w:r w:rsidR="0083637B">
              <w:rPr>
                <w:sz w:val="18"/>
                <w:szCs w:val="22"/>
              </w:rPr>
              <w:t>% of cohort to re</w:t>
            </w:r>
            <w:r>
              <w:rPr>
                <w:sz w:val="18"/>
                <w:szCs w:val="22"/>
              </w:rPr>
              <w:t>ach the expected standard and 64</w:t>
            </w:r>
            <w:r w:rsidR="0083637B">
              <w:rPr>
                <w:sz w:val="18"/>
                <w:szCs w:val="22"/>
              </w:rPr>
              <w:t>% of the Pupil Premium Learners.</w:t>
            </w:r>
          </w:p>
          <w:p w14:paraId="2BC81A99" w14:textId="77777777" w:rsidR="006374D0" w:rsidRDefault="00E0317B">
            <w:pPr>
              <w:pStyle w:val="TableRow"/>
              <w:numPr>
                <w:ilvl w:val="0"/>
                <w:numId w:val="21"/>
              </w:numPr>
              <w:ind w:left="320" w:hanging="283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15</w:t>
            </w:r>
            <w:r w:rsidR="0083637B">
              <w:rPr>
                <w:sz w:val="18"/>
                <w:szCs w:val="22"/>
              </w:rPr>
              <w:t xml:space="preserve">% of cohort to </w:t>
            </w:r>
            <w:r>
              <w:rPr>
                <w:sz w:val="18"/>
                <w:szCs w:val="22"/>
              </w:rPr>
              <w:t>reach the higher standard and 17</w:t>
            </w:r>
            <w:r w:rsidR="0083637B">
              <w:rPr>
                <w:sz w:val="18"/>
                <w:szCs w:val="22"/>
              </w:rPr>
              <w:t>% of Pupil Premium Learners</w:t>
            </w:r>
          </w:p>
          <w:p w14:paraId="36B13467" w14:textId="77777777" w:rsidR="006374D0" w:rsidRDefault="0083637B">
            <w:pPr>
              <w:pStyle w:val="TableRow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Maths</w:t>
            </w:r>
          </w:p>
          <w:p w14:paraId="47341E92" w14:textId="77777777" w:rsidR="006374D0" w:rsidRDefault="00E0317B">
            <w:pPr>
              <w:pStyle w:val="TableRow"/>
              <w:numPr>
                <w:ilvl w:val="0"/>
                <w:numId w:val="22"/>
              </w:numPr>
              <w:ind w:left="320" w:hanging="283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77</w:t>
            </w:r>
            <w:r w:rsidR="0083637B">
              <w:rPr>
                <w:sz w:val="18"/>
                <w:szCs w:val="22"/>
              </w:rPr>
              <w:t>% of cohort to re</w:t>
            </w:r>
            <w:r>
              <w:rPr>
                <w:sz w:val="18"/>
                <w:szCs w:val="22"/>
              </w:rPr>
              <w:t>ach the expected standard and 68</w:t>
            </w:r>
            <w:r w:rsidR="0083637B">
              <w:rPr>
                <w:sz w:val="18"/>
                <w:szCs w:val="22"/>
              </w:rPr>
              <w:t>% of the Pupil Premium Learners.</w:t>
            </w:r>
          </w:p>
          <w:p w14:paraId="3585A7FF" w14:textId="77777777" w:rsidR="006374D0" w:rsidRPr="00E0317B" w:rsidRDefault="00E0317B" w:rsidP="00E0317B">
            <w:pPr>
              <w:pStyle w:val="TableRow"/>
              <w:numPr>
                <w:ilvl w:val="0"/>
                <w:numId w:val="22"/>
              </w:numPr>
              <w:ind w:left="320" w:hanging="283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16</w:t>
            </w:r>
            <w:r w:rsidR="0083637B">
              <w:rPr>
                <w:sz w:val="18"/>
                <w:szCs w:val="22"/>
              </w:rPr>
              <w:t xml:space="preserve">% of cohort to </w:t>
            </w:r>
            <w:r>
              <w:rPr>
                <w:sz w:val="18"/>
                <w:szCs w:val="22"/>
              </w:rPr>
              <w:t>reach the higher standard and 16</w:t>
            </w:r>
            <w:r w:rsidR="0083637B">
              <w:rPr>
                <w:sz w:val="18"/>
                <w:szCs w:val="22"/>
              </w:rPr>
              <w:t xml:space="preserve"> of Pupil Premium Learners</w:t>
            </w: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ABD1F" w14:textId="77777777" w:rsidR="006374D0" w:rsidRDefault="0083637B">
            <w:pPr>
              <w:pStyle w:val="TableRow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July 2020 </w:t>
            </w:r>
          </w:p>
        </w:tc>
      </w:tr>
      <w:tr w:rsidR="006374D0" w14:paraId="4A0286FD" w14:textId="77777777">
        <w:trPr>
          <w:trHeight w:val="381"/>
        </w:trPr>
        <w:tc>
          <w:tcPr>
            <w:tcW w:w="25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DEB42" w14:textId="77777777" w:rsidR="006374D0" w:rsidRDefault="0083637B">
            <w:pPr>
              <w:pStyle w:val="TableRow"/>
              <w:rPr>
                <w:b/>
                <w:bCs/>
                <w:color w:val="FF0000"/>
                <w:sz w:val="18"/>
                <w:szCs w:val="22"/>
              </w:rPr>
            </w:pPr>
            <w:r>
              <w:rPr>
                <w:sz w:val="18"/>
                <w:szCs w:val="22"/>
              </w:rPr>
              <w:t>Attainment—Year 6 (KS2)</w:t>
            </w:r>
          </w:p>
          <w:p w14:paraId="30771972" w14:textId="77777777" w:rsidR="007A3F57" w:rsidRDefault="007A3F57">
            <w:pPr>
              <w:pStyle w:val="TableRow"/>
              <w:rPr>
                <w:b/>
                <w:bCs/>
                <w:color w:val="FF0000"/>
                <w:sz w:val="18"/>
                <w:szCs w:val="22"/>
              </w:rPr>
            </w:pPr>
          </w:p>
          <w:p w14:paraId="6417F56A" w14:textId="77777777" w:rsidR="007A3F57" w:rsidRPr="00A00F7D" w:rsidRDefault="00A00F7D">
            <w:pPr>
              <w:pStyle w:val="TableRow"/>
              <w:rPr>
                <w:color w:val="auto"/>
              </w:rPr>
            </w:pPr>
            <w:r w:rsidRPr="00A00F7D">
              <w:rPr>
                <w:bCs/>
                <w:color w:val="auto"/>
                <w:sz w:val="18"/>
                <w:szCs w:val="22"/>
              </w:rPr>
              <w:t>The prior attainment of pupils in year 6 is lower than average</w:t>
            </w:r>
            <w:r w:rsidR="007A3F57" w:rsidRPr="00A00F7D">
              <w:rPr>
                <w:bCs/>
                <w:color w:val="auto"/>
                <w:sz w:val="18"/>
                <w:szCs w:val="22"/>
              </w:rPr>
              <w:t>.</w:t>
            </w:r>
            <w:r w:rsidRPr="00A00F7D">
              <w:rPr>
                <w:bCs/>
                <w:color w:val="auto"/>
                <w:sz w:val="18"/>
                <w:szCs w:val="22"/>
              </w:rPr>
              <w:t xml:space="preserve"> While targets for the end of key stage 2 are below national </w:t>
            </w:r>
            <w:r w:rsidRPr="00A00F7D">
              <w:rPr>
                <w:bCs/>
                <w:color w:val="auto"/>
                <w:sz w:val="18"/>
                <w:szCs w:val="22"/>
              </w:rPr>
              <w:lastRenderedPageBreak/>
              <w:t xml:space="preserve">figures, they represent good progress for pupils. </w:t>
            </w:r>
          </w:p>
          <w:p w14:paraId="062EDCE5" w14:textId="77777777" w:rsidR="006374D0" w:rsidRDefault="006374D0">
            <w:pPr>
              <w:pStyle w:val="TableRow"/>
              <w:rPr>
                <w:sz w:val="18"/>
                <w:szCs w:val="22"/>
              </w:rPr>
            </w:pPr>
          </w:p>
        </w:tc>
        <w:tc>
          <w:tcPr>
            <w:tcW w:w="10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CFA8F" w14:textId="77777777" w:rsidR="006374D0" w:rsidRDefault="0083637B">
            <w:pPr>
              <w:pStyle w:val="TableRow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lastRenderedPageBreak/>
              <w:t>Reading</w:t>
            </w:r>
          </w:p>
          <w:p w14:paraId="0E8510BA" w14:textId="77777777" w:rsidR="006374D0" w:rsidRDefault="00791BB9">
            <w:pPr>
              <w:pStyle w:val="TableRow"/>
              <w:numPr>
                <w:ilvl w:val="0"/>
                <w:numId w:val="20"/>
              </w:numPr>
              <w:ind w:left="320" w:hanging="283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72</w:t>
            </w:r>
            <w:r w:rsidR="0083637B">
              <w:rPr>
                <w:sz w:val="18"/>
                <w:szCs w:val="22"/>
              </w:rPr>
              <w:t>% of cohort to re</w:t>
            </w:r>
            <w:r>
              <w:rPr>
                <w:sz w:val="18"/>
                <w:szCs w:val="22"/>
              </w:rPr>
              <w:t>ach the expected standard and 64</w:t>
            </w:r>
            <w:r w:rsidR="0083637B">
              <w:rPr>
                <w:sz w:val="18"/>
                <w:szCs w:val="22"/>
              </w:rPr>
              <w:t>% of the Pupil Premium Learners.</w:t>
            </w:r>
          </w:p>
          <w:p w14:paraId="21DF5BB5" w14:textId="77777777" w:rsidR="006374D0" w:rsidRDefault="00791BB9">
            <w:pPr>
              <w:pStyle w:val="TableRow"/>
              <w:numPr>
                <w:ilvl w:val="0"/>
                <w:numId w:val="20"/>
              </w:numPr>
              <w:ind w:left="320" w:hanging="283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23</w:t>
            </w:r>
            <w:r w:rsidR="0083637B">
              <w:rPr>
                <w:sz w:val="18"/>
                <w:szCs w:val="22"/>
              </w:rPr>
              <w:t xml:space="preserve">% of cohort to </w:t>
            </w:r>
            <w:r>
              <w:rPr>
                <w:sz w:val="18"/>
                <w:szCs w:val="22"/>
              </w:rPr>
              <w:t>reach the higher standard and 13%</w:t>
            </w:r>
            <w:r w:rsidR="0083637B">
              <w:rPr>
                <w:sz w:val="18"/>
                <w:szCs w:val="22"/>
              </w:rPr>
              <w:t xml:space="preserve"> of Pupil Premium Learners</w:t>
            </w:r>
          </w:p>
          <w:p w14:paraId="10CDE1B5" w14:textId="77777777" w:rsidR="006374D0" w:rsidRDefault="0083637B">
            <w:pPr>
              <w:pStyle w:val="TableRow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Writing</w:t>
            </w:r>
          </w:p>
          <w:p w14:paraId="4558A403" w14:textId="77777777" w:rsidR="006374D0" w:rsidRDefault="00791BB9">
            <w:pPr>
              <w:pStyle w:val="TableRow"/>
              <w:numPr>
                <w:ilvl w:val="0"/>
                <w:numId w:val="21"/>
              </w:numPr>
              <w:ind w:left="320" w:hanging="283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65</w:t>
            </w:r>
            <w:r w:rsidR="0083637B">
              <w:rPr>
                <w:sz w:val="18"/>
                <w:szCs w:val="22"/>
              </w:rPr>
              <w:t>% of cohort to re</w:t>
            </w:r>
            <w:r>
              <w:rPr>
                <w:sz w:val="18"/>
                <w:szCs w:val="22"/>
              </w:rPr>
              <w:t>ach the expected standard and 55</w:t>
            </w:r>
            <w:r w:rsidR="0083637B">
              <w:rPr>
                <w:sz w:val="18"/>
                <w:szCs w:val="22"/>
              </w:rPr>
              <w:t>% of the Pupil Premium Learners.</w:t>
            </w:r>
          </w:p>
          <w:p w14:paraId="7498D6F6" w14:textId="77777777" w:rsidR="006374D0" w:rsidRDefault="00791BB9">
            <w:pPr>
              <w:pStyle w:val="TableRow"/>
              <w:numPr>
                <w:ilvl w:val="0"/>
                <w:numId w:val="21"/>
              </w:numPr>
              <w:ind w:left="320" w:hanging="283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lastRenderedPageBreak/>
              <w:t>16</w:t>
            </w:r>
            <w:r w:rsidR="0083637B">
              <w:rPr>
                <w:sz w:val="18"/>
                <w:szCs w:val="22"/>
              </w:rPr>
              <w:t xml:space="preserve">% of cohort to </w:t>
            </w:r>
            <w:r>
              <w:rPr>
                <w:sz w:val="18"/>
                <w:szCs w:val="22"/>
              </w:rPr>
              <w:t>reach the higher standard and 13</w:t>
            </w:r>
            <w:r w:rsidR="0083637B">
              <w:rPr>
                <w:sz w:val="18"/>
                <w:szCs w:val="22"/>
              </w:rPr>
              <w:t>% of Pupil Premium Learners</w:t>
            </w:r>
          </w:p>
          <w:p w14:paraId="267B8D56" w14:textId="77777777" w:rsidR="006374D0" w:rsidRDefault="0083637B">
            <w:pPr>
              <w:pStyle w:val="TableRow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Maths</w:t>
            </w:r>
          </w:p>
          <w:p w14:paraId="6CE9DA5B" w14:textId="77777777" w:rsidR="006374D0" w:rsidRDefault="00791BB9">
            <w:pPr>
              <w:pStyle w:val="TableRow"/>
              <w:numPr>
                <w:ilvl w:val="0"/>
                <w:numId w:val="22"/>
              </w:numPr>
              <w:ind w:left="320" w:hanging="283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75</w:t>
            </w:r>
            <w:r w:rsidR="0083637B">
              <w:rPr>
                <w:sz w:val="18"/>
                <w:szCs w:val="22"/>
              </w:rPr>
              <w:t>% of cohort to re</w:t>
            </w:r>
            <w:r>
              <w:rPr>
                <w:sz w:val="18"/>
                <w:szCs w:val="22"/>
              </w:rPr>
              <w:t>ach the expected standard and 67</w:t>
            </w:r>
            <w:r w:rsidR="0083637B">
              <w:rPr>
                <w:sz w:val="18"/>
                <w:szCs w:val="22"/>
              </w:rPr>
              <w:t>% of the Pupil Premium Learners.</w:t>
            </w:r>
          </w:p>
          <w:p w14:paraId="626AC526" w14:textId="77777777" w:rsidR="006374D0" w:rsidRDefault="00791BB9">
            <w:pPr>
              <w:pStyle w:val="TableRow"/>
              <w:numPr>
                <w:ilvl w:val="0"/>
                <w:numId w:val="22"/>
              </w:numPr>
              <w:ind w:left="320" w:hanging="283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23</w:t>
            </w:r>
            <w:r w:rsidR="0083637B">
              <w:rPr>
                <w:sz w:val="18"/>
                <w:szCs w:val="22"/>
              </w:rPr>
              <w:t xml:space="preserve">% of cohort to </w:t>
            </w:r>
            <w:r>
              <w:rPr>
                <w:sz w:val="18"/>
                <w:szCs w:val="22"/>
              </w:rPr>
              <w:t>reach the higher standard and 18</w:t>
            </w:r>
            <w:r w:rsidR="0083637B">
              <w:rPr>
                <w:sz w:val="18"/>
                <w:szCs w:val="22"/>
              </w:rPr>
              <w:t>% of Pupil Premium Learners</w:t>
            </w: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A38D1" w14:textId="77777777" w:rsidR="006374D0" w:rsidRDefault="0083637B">
            <w:pPr>
              <w:pStyle w:val="TableRow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lastRenderedPageBreak/>
              <w:t>July 2020</w:t>
            </w:r>
          </w:p>
        </w:tc>
      </w:tr>
      <w:tr w:rsidR="006374D0" w14:paraId="17BCD462" w14:textId="77777777">
        <w:trPr>
          <w:trHeight w:val="381"/>
        </w:trPr>
        <w:tc>
          <w:tcPr>
            <w:tcW w:w="25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16250" w14:textId="77777777" w:rsidR="006374D0" w:rsidRDefault="0083637B">
            <w:pPr>
              <w:pStyle w:val="TableRow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Year 6 progress scores </w:t>
            </w:r>
          </w:p>
        </w:tc>
        <w:tc>
          <w:tcPr>
            <w:tcW w:w="10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57F0F" w14:textId="77777777" w:rsidR="006374D0" w:rsidRDefault="0083637B">
            <w:pPr>
              <w:pStyle w:val="TableRow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Pupil premium children and their classmates achieve positive progress scores in reading and writing and the maths progress score is close to the national average (0).</w:t>
            </w:r>
          </w:p>
          <w:p w14:paraId="17886726" w14:textId="77777777" w:rsidR="006374D0" w:rsidRDefault="0083637B">
            <w:pPr>
              <w:pStyle w:val="TableRow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Pupil premium children and their classmates achieve or exceed the national progress scores.  </w:t>
            </w: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9EAA7" w14:textId="77777777" w:rsidR="006374D0" w:rsidRDefault="0083637B">
            <w:pPr>
              <w:pStyle w:val="TableRow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July 2020</w:t>
            </w:r>
          </w:p>
          <w:p w14:paraId="36DBFE4E" w14:textId="77777777" w:rsidR="006374D0" w:rsidRDefault="006374D0">
            <w:pPr>
              <w:pStyle w:val="TableRow"/>
              <w:rPr>
                <w:sz w:val="18"/>
                <w:szCs w:val="22"/>
              </w:rPr>
            </w:pPr>
          </w:p>
          <w:p w14:paraId="30B7D6EB" w14:textId="77777777" w:rsidR="006374D0" w:rsidRDefault="0083637B">
            <w:pPr>
              <w:pStyle w:val="TableRow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July 2021</w:t>
            </w:r>
          </w:p>
        </w:tc>
      </w:tr>
    </w:tbl>
    <w:bookmarkEnd w:id="4"/>
    <w:p w14:paraId="422C735E" w14:textId="77777777" w:rsidR="006374D0" w:rsidRDefault="0083637B">
      <w:pPr>
        <w:pStyle w:val="Heading2"/>
      </w:pPr>
      <w:r>
        <w:rPr>
          <w:sz w:val="24"/>
          <w:szCs w:val="24"/>
        </w:rPr>
        <w:t xml:space="preserve">Targeted academic support for disadvantaged learners for current academic year    </w:t>
      </w:r>
    </w:p>
    <w:tbl>
      <w:tblPr>
        <w:tblW w:w="146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5"/>
        <w:gridCol w:w="10890"/>
      </w:tblGrid>
      <w:tr w:rsidR="006374D0" w14:paraId="53F2403E" w14:textId="77777777">
        <w:trPr>
          <w:trHeight w:val="381"/>
        </w:trPr>
        <w:tc>
          <w:tcPr>
            <w:tcW w:w="37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2A6BA" w14:textId="77777777" w:rsidR="006374D0" w:rsidRDefault="0083637B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10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315A6" w14:textId="77777777" w:rsidR="006374D0" w:rsidRDefault="0083637B">
            <w:pPr>
              <w:pStyle w:val="TableRow"/>
            </w:pPr>
            <w:r>
              <w:rPr>
                <w:b/>
                <w:sz w:val="22"/>
                <w:szCs w:val="22"/>
              </w:rPr>
              <w:t>Actions</w:t>
            </w:r>
          </w:p>
        </w:tc>
      </w:tr>
      <w:tr w:rsidR="006374D0" w14:paraId="0C987288" w14:textId="77777777">
        <w:trPr>
          <w:trHeight w:val="381"/>
        </w:trPr>
        <w:tc>
          <w:tcPr>
            <w:tcW w:w="37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77A8B" w14:textId="77777777" w:rsidR="006374D0" w:rsidRDefault="0083637B">
            <w:pPr>
              <w:pStyle w:val="TableRow"/>
            </w:pPr>
            <w:r>
              <w:rPr>
                <w:rFonts w:cs="Calibri"/>
                <w:b/>
                <w:bCs/>
                <w:sz w:val="22"/>
                <w:szCs w:val="22"/>
              </w:rPr>
              <w:t>Priority 1</w:t>
            </w:r>
            <w:r>
              <w:rPr>
                <w:rFonts w:cs="Calibri"/>
                <w:sz w:val="22"/>
                <w:szCs w:val="22"/>
              </w:rPr>
              <w:t xml:space="preserve">: </w:t>
            </w:r>
            <w:r>
              <w:rPr>
                <w:rFonts w:cs="Calibri"/>
                <w:b/>
                <w:bCs/>
                <w:sz w:val="22"/>
                <w:szCs w:val="22"/>
              </w:rPr>
              <w:t xml:space="preserve">Greater Depth (GD) </w:t>
            </w:r>
            <w:r>
              <w:rPr>
                <w:rFonts w:cs="Calibri"/>
                <w:sz w:val="22"/>
                <w:szCs w:val="22"/>
              </w:rPr>
              <w:t xml:space="preserve">Increasing the GD percentages for PP learners. </w:t>
            </w:r>
          </w:p>
        </w:tc>
        <w:tc>
          <w:tcPr>
            <w:tcW w:w="10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4EF2D" w14:textId="77777777" w:rsidR="006374D0" w:rsidRPr="00B07CA5" w:rsidRDefault="00664B13">
            <w:pPr>
              <w:pStyle w:val="TableRow"/>
              <w:rPr>
                <w:color w:val="auto"/>
              </w:rPr>
            </w:pPr>
            <w:r w:rsidRPr="00B07CA5">
              <w:rPr>
                <w:rStyle w:val="PlaceholderText"/>
                <w:color w:val="auto"/>
              </w:rPr>
              <w:t>Teaching assistants will be deployed in classrooms with a reduction in the number of group interventions. This will allow for different working groups in class to be supported either by the class teacher or TA.</w:t>
            </w:r>
          </w:p>
        </w:tc>
      </w:tr>
      <w:tr w:rsidR="006374D0" w14:paraId="4376930C" w14:textId="77777777">
        <w:trPr>
          <w:trHeight w:val="381"/>
        </w:trPr>
        <w:tc>
          <w:tcPr>
            <w:tcW w:w="37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E956F" w14:textId="77777777" w:rsidR="006374D0" w:rsidRDefault="0083637B">
            <w:pPr>
              <w:pStyle w:val="TableRow"/>
            </w:pPr>
            <w:r>
              <w:rPr>
                <w:rFonts w:cs="Calibri"/>
                <w:b/>
                <w:bCs/>
                <w:sz w:val="22"/>
                <w:szCs w:val="22"/>
              </w:rPr>
              <w:t>Priority 2</w:t>
            </w:r>
            <w:r>
              <w:rPr>
                <w:rFonts w:cs="Calibri"/>
                <w:sz w:val="22"/>
                <w:szCs w:val="22"/>
              </w:rPr>
              <w:t xml:space="preserve">: </w:t>
            </w:r>
            <w:r w:rsidR="009F79EB">
              <w:rPr>
                <w:rFonts w:cs="Calibri"/>
                <w:b/>
                <w:bCs/>
                <w:sz w:val="22"/>
                <w:szCs w:val="22"/>
              </w:rPr>
              <w:t>Writing</w:t>
            </w:r>
            <w:r>
              <w:rPr>
                <w:rFonts w:cs="Calibri"/>
                <w:b/>
                <w:bCs/>
                <w:sz w:val="22"/>
                <w:szCs w:val="22"/>
              </w:rPr>
              <w:t xml:space="preserve">            </w:t>
            </w:r>
            <w:r>
              <w:rPr>
                <w:rFonts w:cs="Calibri"/>
                <w:sz w:val="22"/>
                <w:szCs w:val="22"/>
              </w:rPr>
              <w:t xml:space="preserve">Reducing the within school attainment gaps, especially the Year 5 and 6 writing gaps. </w:t>
            </w:r>
          </w:p>
        </w:tc>
        <w:tc>
          <w:tcPr>
            <w:tcW w:w="10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7AED8" w14:textId="674C93E1" w:rsidR="006374D0" w:rsidRPr="00B07CA5" w:rsidRDefault="0087336E" w:rsidP="0087336E">
            <w:pPr>
              <w:pStyle w:val="TableRow"/>
              <w:rPr>
                <w:rStyle w:val="PlaceholderText"/>
                <w:color w:val="auto"/>
              </w:rPr>
            </w:pPr>
            <w:r w:rsidRPr="00B07CA5">
              <w:rPr>
                <w:rStyle w:val="PlaceholderText"/>
                <w:color w:val="auto"/>
              </w:rPr>
              <w:t xml:space="preserve">In </w:t>
            </w:r>
            <w:r w:rsidR="00B07CA5">
              <w:rPr>
                <w:rStyle w:val="PlaceholderText"/>
                <w:color w:val="auto"/>
              </w:rPr>
              <w:t>Y</w:t>
            </w:r>
            <w:r w:rsidRPr="00B07CA5">
              <w:rPr>
                <w:rStyle w:val="PlaceholderText"/>
                <w:color w:val="auto"/>
              </w:rPr>
              <w:t xml:space="preserve">ear 5, 2 deputy head of campuses are leading the team across Bishop’s. They have presented a plan that they will oversee and monitor. Additional licences will be purchased to allow all year 5 pupils to access accelerated reader. Additional moderation and monitoring of writing and numeracy will be timetabled throughout the year. </w:t>
            </w:r>
          </w:p>
          <w:p w14:paraId="04AB876A" w14:textId="37C979F4" w:rsidR="0087336E" w:rsidRPr="00B07CA5" w:rsidRDefault="0087336E" w:rsidP="0087336E">
            <w:pPr>
              <w:pStyle w:val="TableRow"/>
              <w:rPr>
                <w:color w:val="auto"/>
              </w:rPr>
            </w:pPr>
            <w:r w:rsidRPr="00B07CA5">
              <w:rPr>
                <w:rStyle w:val="PlaceholderText"/>
                <w:color w:val="auto"/>
              </w:rPr>
              <w:t xml:space="preserve">In </w:t>
            </w:r>
            <w:r w:rsidR="00B07CA5">
              <w:rPr>
                <w:rStyle w:val="PlaceholderText"/>
                <w:color w:val="auto"/>
              </w:rPr>
              <w:t>Y</w:t>
            </w:r>
            <w:r w:rsidRPr="00B07CA5">
              <w:rPr>
                <w:rStyle w:val="PlaceholderText"/>
                <w:color w:val="auto"/>
              </w:rPr>
              <w:t xml:space="preserve">ear 6, the strategic literacy director will lead a drive on improvement, working with staff and pupils to address gaps in knowledge. </w:t>
            </w:r>
          </w:p>
        </w:tc>
      </w:tr>
      <w:tr w:rsidR="006374D0" w14:paraId="6F84FACE" w14:textId="77777777">
        <w:trPr>
          <w:trHeight w:val="381"/>
        </w:trPr>
        <w:tc>
          <w:tcPr>
            <w:tcW w:w="37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40D46" w14:textId="77777777" w:rsidR="006374D0" w:rsidRDefault="0083637B">
            <w:pPr>
              <w:pStyle w:val="TableRow"/>
            </w:pPr>
            <w:r>
              <w:rPr>
                <w:rFonts w:cs="Calibri"/>
                <w:b/>
                <w:bCs/>
                <w:sz w:val="22"/>
                <w:szCs w:val="22"/>
              </w:rPr>
              <w:t>Priority 3</w:t>
            </w:r>
            <w:r>
              <w:rPr>
                <w:rFonts w:cs="Calibri"/>
                <w:sz w:val="22"/>
                <w:szCs w:val="22"/>
              </w:rPr>
              <w:t>:</w:t>
            </w:r>
            <w:r w:rsidR="009F79EB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b/>
                <w:bCs/>
                <w:sz w:val="22"/>
                <w:szCs w:val="22"/>
              </w:rPr>
              <w:t>Early Years</w:t>
            </w:r>
          </w:p>
        </w:tc>
        <w:tc>
          <w:tcPr>
            <w:tcW w:w="10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E0F12" w14:textId="77777777" w:rsidR="006374D0" w:rsidRDefault="009F79EB">
            <w:pPr>
              <w:pStyle w:val="TableRow"/>
            </w:pPr>
            <w:r>
              <w:t>Funding will allow speech and language support in early years and additional capacity for special educational needs for those pupils that are both PP and SEND.</w:t>
            </w:r>
          </w:p>
        </w:tc>
      </w:tr>
      <w:tr w:rsidR="006374D0" w14:paraId="3EE3FCB7" w14:textId="77777777">
        <w:trPr>
          <w:trHeight w:val="381"/>
        </w:trPr>
        <w:tc>
          <w:tcPr>
            <w:tcW w:w="37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6A5CC" w14:textId="77777777" w:rsidR="006374D0" w:rsidRDefault="0083637B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Barriers to learning these priorities address</w:t>
            </w:r>
          </w:p>
        </w:tc>
        <w:tc>
          <w:tcPr>
            <w:tcW w:w="10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371C7" w14:textId="77777777" w:rsidR="006374D0" w:rsidRDefault="0083637B">
            <w:pPr>
              <w:pStyle w:val="ListParagraph"/>
              <w:numPr>
                <w:ilvl w:val="0"/>
                <w:numId w:val="23"/>
              </w:numPr>
              <w:suppressAutoHyphens w:val="0"/>
              <w:autoSpaceDE w:val="0"/>
              <w:spacing w:line="240" w:lineRule="auto"/>
              <w:textAlignment w:val="auto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When the children join Bishop’s Primary, many are below age-related expectations and have poor language, communication and social skills.</w:t>
            </w:r>
          </w:p>
          <w:p w14:paraId="2B10C400" w14:textId="77777777" w:rsidR="006374D0" w:rsidRDefault="0083637B">
            <w:pPr>
              <w:pStyle w:val="ListParagraph"/>
              <w:numPr>
                <w:ilvl w:val="0"/>
                <w:numId w:val="23"/>
              </w:numPr>
              <w:suppressAutoHyphens w:val="0"/>
              <w:autoSpaceDE w:val="0"/>
              <w:spacing w:line="240" w:lineRule="auto"/>
              <w:textAlignment w:val="auto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Gaps in literacy and numeracy between disadvantaged and non-disadvantaged pupils.  This impacts on pupils’ ability to access higher order test questions and is an issue at national, as well as school level.</w:t>
            </w:r>
          </w:p>
          <w:p w14:paraId="3D3BEC46" w14:textId="77777777" w:rsidR="006374D0" w:rsidRDefault="0083637B">
            <w:pPr>
              <w:pStyle w:val="ListParagraph"/>
              <w:numPr>
                <w:ilvl w:val="0"/>
                <w:numId w:val="23"/>
              </w:numPr>
              <w:suppressAutoHyphens w:val="0"/>
              <w:autoSpaceDE w:val="0"/>
              <w:spacing w:line="240" w:lineRule="auto"/>
              <w:textAlignment w:val="auto"/>
            </w:pPr>
            <w:r>
              <w:rPr>
                <w:rFonts w:cs="Arial"/>
                <w:bCs/>
                <w:color w:val="000000"/>
              </w:rPr>
              <w:lastRenderedPageBreak/>
              <w:t>An increasing number of the school’s pupil premium learners also have special educational needs.</w:t>
            </w:r>
          </w:p>
        </w:tc>
      </w:tr>
      <w:tr w:rsidR="006374D0" w14:paraId="744B92F6" w14:textId="77777777">
        <w:trPr>
          <w:trHeight w:val="381"/>
        </w:trPr>
        <w:tc>
          <w:tcPr>
            <w:tcW w:w="37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2D6AA" w14:textId="77777777" w:rsidR="006374D0" w:rsidRDefault="0083637B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>Projected spending</w:t>
            </w:r>
          </w:p>
        </w:tc>
        <w:tc>
          <w:tcPr>
            <w:tcW w:w="10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21DF6" w14:textId="77777777" w:rsidR="009F79EB" w:rsidRDefault="009F79EB" w:rsidP="009F79EB">
            <w:pPr>
              <w:pStyle w:val="TableRow"/>
            </w:pPr>
            <w:r>
              <w:t>Strengthening the quality of teaching and learning:£145,882.78</w:t>
            </w:r>
          </w:p>
          <w:p w14:paraId="7CD436E9" w14:textId="77777777" w:rsidR="006374D0" w:rsidRDefault="009F79EB" w:rsidP="009F79EB">
            <w:pPr>
              <w:pStyle w:val="TableRow"/>
            </w:pPr>
            <w:r>
              <w:t>Targeted intervention for pupil premium children: £341,060.73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1251CD33" w14:textId="77777777" w:rsidR="006374D0" w:rsidRDefault="0083637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Wider strategies for current academic year</w:t>
      </w:r>
    </w:p>
    <w:tbl>
      <w:tblPr>
        <w:tblW w:w="146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5"/>
        <w:gridCol w:w="10620"/>
      </w:tblGrid>
      <w:tr w:rsidR="006374D0" w14:paraId="495EF3F8" w14:textId="77777777"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9CB4E" w14:textId="77777777" w:rsidR="006374D0" w:rsidRDefault="0083637B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96EDE" w14:textId="77777777" w:rsidR="006374D0" w:rsidRDefault="0083637B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Actions</w:t>
            </w:r>
          </w:p>
        </w:tc>
      </w:tr>
      <w:tr w:rsidR="006374D0" w14:paraId="11A5359C" w14:textId="77777777"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24935" w14:textId="77777777" w:rsidR="006374D0" w:rsidRDefault="0083637B">
            <w:pPr>
              <w:pStyle w:val="TableRow"/>
              <w:ind w:left="0"/>
            </w:pPr>
            <w:r>
              <w:rPr>
                <w:rFonts w:cs="Calibri"/>
                <w:b/>
                <w:bCs/>
                <w:sz w:val="22"/>
                <w:szCs w:val="22"/>
              </w:rPr>
              <w:t xml:space="preserve">Priority 1: Extra-curricular activities </w:t>
            </w:r>
            <w:r>
              <w:rPr>
                <w:rFonts w:cs="Calibri"/>
                <w:sz w:val="22"/>
                <w:szCs w:val="22"/>
              </w:rPr>
              <w:t>Substantially increase the number of PP learners benefitting from extra-curricular activities to improve engagement and develop their interests and talents.</w:t>
            </w:r>
            <w:r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F6778" w14:textId="77777777" w:rsidR="00460AFB" w:rsidRPr="00B07CA5" w:rsidRDefault="007317B9" w:rsidP="00460AFB">
            <w:pPr>
              <w:pStyle w:val="TableRow"/>
              <w:rPr>
                <w:rStyle w:val="PlaceholderText"/>
                <w:color w:val="auto"/>
              </w:rPr>
            </w:pPr>
            <w:r w:rsidRPr="00B07CA5">
              <w:rPr>
                <w:rStyle w:val="PlaceholderText"/>
                <w:color w:val="auto"/>
              </w:rPr>
              <w:t xml:space="preserve">Each campus will participate in an </w:t>
            </w:r>
            <w:r w:rsidR="00056F73" w:rsidRPr="00B07CA5">
              <w:rPr>
                <w:rStyle w:val="PlaceholderText"/>
                <w:color w:val="auto"/>
              </w:rPr>
              <w:t>audit of extra-curricular participation by pupil premium children. Campuses will then identify pupils to invite to clubs</w:t>
            </w:r>
            <w:r w:rsidR="00460AFB" w:rsidRPr="00B07CA5">
              <w:rPr>
                <w:rStyle w:val="PlaceholderText"/>
                <w:color w:val="auto"/>
              </w:rPr>
              <w:t xml:space="preserve"> and </w:t>
            </w:r>
            <w:r w:rsidR="00056F73" w:rsidRPr="00B07CA5">
              <w:rPr>
                <w:rStyle w:val="PlaceholderText"/>
                <w:color w:val="auto"/>
              </w:rPr>
              <w:t xml:space="preserve">hold pupil voice activities to initiate new clubs and engage </w:t>
            </w:r>
            <w:r w:rsidR="009F79EB" w:rsidRPr="00B07CA5">
              <w:rPr>
                <w:rStyle w:val="PlaceholderText"/>
                <w:color w:val="auto"/>
              </w:rPr>
              <w:t>pupils’</w:t>
            </w:r>
            <w:r w:rsidR="00056F73" w:rsidRPr="00B07CA5">
              <w:rPr>
                <w:rStyle w:val="PlaceholderText"/>
                <w:color w:val="auto"/>
              </w:rPr>
              <w:t xml:space="preserve"> interests.</w:t>
            </w:r>
          </w:p>
          <w:p w14:paraId="34B1520B" w14:textId="77777777" w:rsidR="00056F73" w:rsidRDefault="00056F73" w:rsidP="00460AFB">
            <w:pPr>
              <w:pStyle w:val="TableRow"/>
            </w:pPr>
            <w:r w:rsidRPr="00B07CA5">
              <w:rPr>
                <w:rStyle w:val="PlaceholderText"/>
                <w:color w:val="auto"/>
              </w:rPr>
              <w:t>Follow up reviews of participation in the spring term will inform further actions to increase participation</w:t>
            </w:r>
            <w:r>
              <w:rPr>
                <w:rStyle w:val="PlaceholderText"/>
              </w:rPr>
              <w:t>.</w:t>
            </w:r>
          </w:p>
        </w:tc>
      </w:tr>
      <w:tr w:rsidR="006374D0" w14:paraId="41178AC8" w14:textId="77777777"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64B56" w14:textId="77777777" w:rsidR="006374D0" w:rsidRDefault="0083637B">
            <w:pPr>
              <w:pStyle w:val="TableRow"/>
              <w:ind w:left="0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Priority 2: Attendance</w:t>
            </w:r>
          </w:p>
        </w:tc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4D56B" w14:textId="77777777" w:rsidR="00056F73" w:rsidRDefault="00056F73">
            <w:pPr>
              <w:pStyle w:val="TableRow"/>
            </w:pPr>
            <w:r>
              <w:t>Bishop’s Primary will employ an attendance and home school link officer to work across the school, based on a campus with identified need. An emphasis on early intervention on attendance will mean pupil identified after 5 absences in the first term, before they become PA. The attendance officer will be proactive in addressing attendance needs.</w:t>
            </w:r>
          </w:p>
          <w:p w14:paraId="38FC4609" w14:textId="77777777" w:rsidR="00056F73" w:rsidRDefault="00056F73" w:rsidP="00056F73">
            <w:pPr>
              <w:pStyle w:val="TableRow"/>
            </w:pPr>
            <w:r>
              <w:t xml:space="preserve">Attendance will have a high presence in school and on the school website. </w:t>
            </w:r>
          </w:p>
        </w:tc>
      </w:tr>
      <w:tr w:rsidR="006374D0" w14:paraId="54BFE4B9" w14:textId="77777777"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3E762" w14:textId="77777777" w:rsidR="006374D0" w:rsidRDefault="0083637B">
            <w:pPr>
              <w:pStyle w:val="TableRow"/>
              <w:ind w:left="0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Priority 3: Parental engagement</w:t>
            </w:r>
          </w:p>
        </w:tc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07471" w14:textId="77777777" w:rsidR="006374D0" w:rsidRDefault="00056F73">
            <w:pPr>
              <w:pStyle w:val="TableRow"/>
            </w:pPr>
            <w:r>
              <w:t>Parental workshops will be held in supporting parents of children in statutory year groups. Workshops linked to supporting pupils with homework will be offered. Open evenings will showcase pupils’ work.</w:t>
            </w:r>
          </w:p>
        </w:tc>
      </w:tr>
      <w:tr w:rsidR="006374D0" w14:paraId="776CD5F3" w14:textId="77777777"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66698" w14:textId="77777777" w:rsidR="006374D0" w:rsidRDefault="0083637B">
            <w:pPr>
              <w:pStyle w:val="TableRow"/>
              <w:ind w:left="0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 xml:space="preserve">Priority 4: Raise self-esteem and improve mental health/well-being. </w:t>
            </w:r>
          </w:p>
        </w:tc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AC9CE" w14:textId="77777777" w:rsidR="006374D0" w:rsidRDefault="004E624E">
            <w:pPr>
              <w:pStyle w:val="TableRow"/>
            </w:pPr>
            <w:r>
              <w:t>Bishop’s Primary is a T</w:t>
            </w:r>
            <w:r w:rsidR="00056F73">
              <w:t xml:space="preserve">hrive school and nurtures it’s most vulnerable learners. The school will also purchase resources to support the delivery of PSHE. A careers week will be held in school with aspirational visitors. </w:t>
            </w:r>
          </w:p>
        </w:tc>
      </w:tr>
      <w:tr w:rsidR="006374D0" w14:paraId="5087807F" w14:textId="77777777"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8BD9F" w14:textId="77777777" w:rsidR="006374D0" w:rsidRDefault="0083637B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Barriers to learning these priorities address</w:t>
            </w:r>
          </w:p>
        </w:tc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F376E" w14:textId="77777777" w:rsidR="006374D0" w:rsidRDefault="0083637B">
            <w:pPr>
              <w:pStyle w:val="ListParagraph"/>
              <w:numPr>
                <w:ilvl w:val="0"/>
                <w:numId w:val="23"/>
              </w:numPr>
              <w:suppressAutoHyphens w:val="0"/>
              <w:autoSpaceDE w:val="0"/>
              <w:spacing w:line="240" w:lineRule="auto"/>
              <w:textAlignment w:val="auto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A significant number of pupil premium learners have social and emotional difficulties which impact negatively on their learning.</w:t>
            </w:r>
          </w:p>
          <w:p w14:paraId="3DAE596B" w14:textId="77777777" w:rsidR="006374D0" w:rsidRDefault="0083637B">
            <w:pPr>
              <w:pStyle w:val="ListParagraph"/>
              <w:numPr>
                <w:ilvl w:val="0"/>
                <w:numId w:val="23"/>
              </w:numPr>
              <w:suppressAutoHyphens w:val="0"/>
              <w:autoSpaceDE w:val="0"/>
              <w:spacing w:line="240" w:lineRule="auto"/>
              <w:textAlignment w:val="auto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lastRenderedPageBreak/>
              <w:t>Limited knowledge or confidence of some parents and carers in how to support their children to improve their skills in areas such as reading and maths.</w:t>
            </w:r>
          </w:p>
          <w:p w14:paraId="64A92B45" w14:textId="77777777" w:rsidR="006374D0" w:rsidRDefault="0083637B">
            <w:pPr>
              <w:pStyle w:val="ListParagraph"/>
              <w:numPr>
                <w:ilvl w:val="0"/>
                <w:numId w:val="23"/>
              </w:numPr>
              <w:suppressAutoHyphens w:val="0"/>
              <w:autoSpaceDE w:val="0"/>
              <w:spacing w:line="240" w:lineRule="auto"/>
              <w:textAlignment w:val="auto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Lower levels of participation in music, the arts, sports and others curriculum and enrichment areas for disadvantaged pupils.</w:t>
            </w:r>
          </w:p>
          <w:p w14:paraId="48EDE842" w14:textId="77777777" w:rsidR="006374D0" w:rsidRDefault="0083637B">
            <w:pPr>
              <w:pStyle w:val="ListParagraph"/>
              <w:numPr>
                <w:ilvl w:val="0"/>
                <w:numId w:val="23"/>
              </w:numPr>
              <w:suppressAutoHyphens w:val="0"/>
              <w:autoSpaceDE w:val="0"/>
              <w:spacing w:line="240" w:lineRule="auto"/>
              <w:textAlignment w:val="auto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Lower levels of self-esteem and aspirations amongst disadvantaged pupils and parents.</w:t>
            </w:r>
          </w:p>
          <w:p w14:paraId="69F3FEEC" w14:textId="77777777" w:rsidR="006374D0" w:rsidRDefault="0083637B">
            <w:pPr>
              <w:pStyle w:val="ListParagraph"/>
              <w:numPr>
                <w:ilvl w:val="0"/>
                <w:numId w:val="23"/>
              </w:numPr>
              <w:suppressAutoHyphens w:val="0"/>
              <w:autoSpaceDE w:val="0"/>
              <w:spacing w:line="240" w:lineRule="auto"/>
              <w:textAlignment w:val="auto"/>
            </w:pPr>
            <w:r>
              <w:rPr>
                <w:rFonts w:cs="Arial"/>
                <w:bCs/>
                <w:color w:val="000000"/>
              </w:rPr>
              <w:t>Poor attendance of some pupil premium children.</w:t>
            </w:r>
          </w:p>
        </w:tc>
      </w:tr>
      <w:tr w:rsidR="006374D0" w14:paraId="28D8C82D" w14:textId="77777777"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95D07" w14:textId="77777777" w:rsidR="006374D0" w:rsidRDefault="0083637B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>Projected spending</w:t>
            </w:r>
          </w:p>
        </w:tc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2CE06" w14:textId="77777777" w:rsidR="009F79EB" w:rsidRPr="00B07CA5" w:rsidRDefault="009F79EB" w:rsidP="009F79EB">
            <w:pPr>
              <w:pStyle w:val="TableRow"/>
              <w:rPr>
                <w:rStyle w:val="PlaceholderText"/>
                <w:color w:val="auto"/>
              </w:rPr>
            </w:pPr>
            <w:r w:rsidRPr="00B07CA5">
              <w:rPr>
                <w:rStyle w:val="PlaceholderText"/>
                <w:color w:val="auto"/>
              </w:rPr>
              <w:t>Wider approaches to im</w:t>
            </w:r>
            <w:r w:rsidR="0037285F" w:rsidRPr="00B07CA5">
              <w:rPr>
                <w:rStyle w:val="PlaceholderText"/>
                <w:color w:val="auto"/>
              </w:rPr>
              <w:t>prove outcomes for pupil premium children: £191,386.75</w:t>
            </w:r>
          </w:p>
          <w:p w14:paraId="27B6BF62" w14:textId="77777777" w:rsidR="006374D0" w:rsidRDefault="0037285F" w:rsidP="0037285F">
            <w:pPr>
              <w:pStyle w:val="TableRow"/>
            </w:pPr>
            <w:r>
              <w:t>Raising aspirations of pupil premium children: £122,337.61</w:t>
            </w:r>
          </w:p>
        </w:tc>
      </w:tr>
    </w:tbl>
    <w:p w14:paraId="1F843B52" w14:textId="77777777" w:rsidR="006374D0" w:rsidRDefault="0083637B">
      <w:pPr>
        <w:pStyle w:val="Heading2"/>
      </w:pPr>
      <w:r>
        <w:rPr>
          <w:sz w:val="24"/>
          <w:szCs w:val="24"/>
        </w:rPr>
        <w:t xml:space="preserve">Monitoring and Implementation   </w:t>
      </w:r>
    </w:p>
    <w:tbl>
      <w:tblPr>
        <w:tblW w:w="146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3685"/>
        <w:gridCol w:w="9000"/>
      </w:tblGrid>
      <w:tr w:rsidR="006374D0" w14:paraId="004956E8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46B84" w14:textId="77777777" w:rsidR="006374D0" w:rsidRDefault="0083637B">
            <w:pPr>
              <w:spacing w:before="60" w:after="60" w:line="240" w:lineRule="auto"/>
              <w:ind w:left="57" w:right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Area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7FAC" w14:textId="77777777" w:rsidR="006374D0" w:rsidRDefault="0083637B">
            <w:pPr>
              <w:spacing w:before="60" w:after="60" w:line="240" w:lineRule="auto"/>
              <w:ind w:left="57" w:right="57"/>
              <w:rPr>
                <w:b/>
                <w:szCs w:val="22"/>
              </w:rPr>
            </w:pPr>
            <w:r>
              <w:rPr>
                <w:b/>
                <w:szCs w:val="22"/>
              </w:rPr>
              <w:t>Challenge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79F5C" w14:textId="77777777" w:rsidR="006374D0" w:rsidRDefault="0083637B">
            <w:pPr>
              <w:spacing w:before="60" w:after="60" w:line="240" w:lineRule="auto"/>
              <w:ind w:left="57" w:right="57"/>
              <w:rPr>
                <w:b/>
                <w:szCs w:val="22"/>
              </w:rPr>
            </w:pPr>
            <w:r>
              <w:rPr>
                <w:b/>
                <w:szCs w:val="22"/>
              </w:rPr>
              <w:t>Mitigating action</w:t>
            </w:r>
          </w:p>
        </w:tc>
      </w:tr>
      <w:tr w:rsidR="006374D0" w14:paraId="0A90E5CB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7A487" w14:textId="77777777" w:rsidR="006374D0" w:rsidRDefault="0083637B">
            <w:pPr>
              <w:spacing w:before="60" w:after="60" w:line="240" w:lineRule="auto"/>
              <w:ind w:right="57"/>
              <w:rPr>
                <w:rFonts w:cs="Calibri"/>
                <w:sz w:val="20"/>
                <w:szCs w:val="22"/>
              </w:rPr>
            </w:pPr>
            <w:r>
              <w:rPr>
                <w:rFonts w:cs="Calibri"/>
                <w:sz w:val="20"/>
                <w:szCs w:val="22"/>
              </w:rPr>
              <w:t>Teaching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F82E6" w14:textId="77777777" w:rsidR="006374D0" w:rsidRDefault="0083637B">
            <w:pPr>
              <w:spacing w:before="60" w:after="60" w:line="240" w:lineRule="auto"/>
              <w:ind w:left="57" w:right="5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Ensuring enough time is given over to allow for staff professional development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D67B5" w14:textId="77777777" w:rsidR="006374D0" w:rsidRDefault="0083637B">
            <w:pPr>
              <w:numPr>
                <w:ilvl w:val="0"/>
                <w:numId w:val="26"/>
              </w:numPr>
              <w:spacing w:before="60" w:after="60" w:line="240" w:lineRule="auto"/>
              <w:ind w:left="431" w:right="57" w:hanging="426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Use of INSET days and additional cover being provided by senior leaders</w:t>
            </w:r>
          </w:p>
          <w:p w14:paraId="49A078F4" w14:textId="77777777" w:rsidR="006374D0" w:rsidRDefault="0083637B">
            <w:pPr>
              <w:numPr>
                <w:ilvl w:val="0"/>
                <w:numId w:val="26"/>
              </w:numPr>
              <w:spacing w:before="60" w:after="60" w:line="240" w:lineRule="auto"/>
              <w:ind w:left="431" w:right="57" w:hanging="426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Staff meeting time directed towards specific CPD in line with development plan</w:t>
            </w:r>
          </w:p>
          <w:p w14:paraId="2C4D11C4" w14:textId="77777777" w:rsidR="006374D0" w:rsidRDefault="00332A51" w:rsidP="004E624E">
            <w:pPr>
              <w:numPr>
                <w:ilvl w:val="0"/>
                <w:numId w:val="26"/>
              </w:numPr>
              <w:spacing w:before="60" w:after="60" w:line="240" w:lineRule="auto"/>
              <w:ind w:left="431" w:right="57" w:hanging="426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Careful monitoring and discussion with stakeholders regarding CPD needs</w:t>
            </w:r>
          </w:p>
          <w:p w14:paraId="23AF5FFA" w14:textId="77777777" w:rsidR="004E624E" w:rsidRDefault="004E624E" w:rsidP="004E624E">
            <w:pPr>
              <w:numPr>
                <w:ilvl w:val="0"/>
                <w:numId w:val="26"/>
              </w:numPr>
              <w:spacing w:before="60" w:after="60" w:line="240" w:lineRule="auto"/>
              <w:ind w:left="431" w:right="57" w:hanging="426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Teaching timetable redesigned to allow Wednesday afternoon designated for inter-campus and whole campus collaboration opportunities</w:t>
            </w:r>
          </w:p>
          <w:p w14:paraId="1A01B025" w14:textId="77777777" w:rsidR="004E624E" w:rsidRDefault="004E624E" w:rsidP="004E624E">
            <w:pPr>
              <w:numPr>
                <w:ilvl w:val="0"/>
                <w:numId w:val="26"/>
              </w:numPr>
              <w:spacing w:before="60" w:after="60" w:line="240" w:lineRule="auto"/>
              <w:ind w:left="431" w:right="57" w:hanging="426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Middle leaders identified for NPQML</w:t>
            </w:r>
          </w:p>
          <w:p w14:paraId="4DCF495E" w14:textId="77777777" w:rsidR="004E624E" w:rsidRDefault="004E624E" w:rsidP="004E624E">
            <w:pPr>
              <w:numPr>
                <w:ilvl w:val="0"/>
                <w:numId w:val="26"/>
              </w:numPr>
              <w:spacing w:before="60" w:after="60" w:line="240" w:lineRule="auto"/>
              <w:ind w:left="431" w:right="57" w:hanging="426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History and Geography curriculum leads developed through Diocese  training </w:t>
            </w:r>
          </w:p>
          <w:p w14:paraId="243E7165" w14:textId="77777777" w:rsidR="004E624E" w:rsidRPr="004E624E" w:rsidRDefault="004E624E" w:rsidP="004E624E">
            <w:pPr>
              <w:numPr>
                <w:ilvl w:val="0"/>
                <w:numId w:val="26"/>
              </w:numPr>
              <w:spacing w:before="60" w:after="60" w:line="240" w:lineRule="auto"/>
              <w:ind w:left="431" w:right="57" w:hanging="426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Staff new to Curriculum leadership supported in role by Ofsted trained Governor</w:t>
            </w:r>
          </w:p>
        </w:tc>
      </w:tr>
      <w:tr w:rsidR="006374D0" w14:paraId="76E183B7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C55C4" w14:textId="77777777" w:rsidR="006374D0" w:rsidRDefault="0083637B">
            <w:pPr>
              <w:spacing w:before="60" w:after="60" w:line="240" w:lineRule="auto"/>
              <w:ind w:right="57"/>
              <w:rPr>
                <w:rFonts w:cs="Calibri"/>
                <w:sz w:val="20"/>
                <w:szCs w:val="22"/>
              </w:rPr>
            </w:pPr>
            <w:r>
              <w:rPr>
                <w:rFonts w:cs="Calibri"/>
                <w:sz w:val="20"/>
                <w:szCs w:val="22"/>
              </w:rPr>
              <w:t>Targeted support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322D0" w14:textId="77777777" w:rsidR="006374D0" w:rsidRDefault="0083637B">
            <w:pPr>
              <w:spacing w:before="60" w:after="60" w:line="240" w:lineRule="auto"/>
              <w:ind w:left="57" w:right="5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Ensuring enough time for maths and literacy leaders to support new teachers and pupil premium learners.  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B3A89" w14:textId="77777777" w:rsidR="006374D0" w:rsidRDefault="0083637B">
            <w:pPr>
              <w:spacing w:before="60" w:after="60" w:line="240" w:lineRule="auto"/>
              <w:ind w:left="57" w:right="5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Headteacher, maths leader and literacy leader will disseminate best practice and train/coach those working with disadvantaged learners.  Time also made available for them to mentor/teach disadvantaged learners working below age related standards and those targeted to achieve greater depth.</w:t>
            </w:r>
            <w:r w:rsidR="0037285F">
              <w:rPr>
                <w:sz w:val="20"/>
                <w:szCs w:val="22"/>
              </w:rPr>
              <w:t xml:space="preserve"> </w:t>
            </w:r>
          </w:p>
        </w:tc>
      </w:tr>
      <w:tr w:rsidR="006374D0" w14:paraId="1C702E96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70914" w14:textId="77777777" w:rsidR="006374D0" w:rsidRDefault="0083637B">
            <w:pPr>
              <w:spacing w:before="60" w:after="60" w:line="240" w:lineRule="auto"/>
              <w:ind w:right="57"/>
              <w:rPr>
                <w:rFonts w:cs="Calibri"/>
                <w:sz w:val="20"/>
                <w:szCs w:val="22"/>
              </w:rPr>
            </w:pPr>
            <w:r>
              <w:rPr>
                <w:rFonts w:cs="Calibri"/>
                <w:sz w:val="20"/>
                <w:szCs w:val="22"/>
              </w:rPr>
              <w:t>Wider strategies</w:t>
            </w:r>
          </w:p>
          <w:p w14:paraId="0B741903" w14:textId="77777777" w:rsidR="006374D0" w:rsidRDefault="006374D0">
            <w:pPr>
              <w:spacing w:before="60" w:after="60" w:line="240" w:lineRule="auto"/>
              <w:ind w:right="57"/>
              <w:rPr>
                <w:rFonts w:cs="Calibri"/>
                <w:sz w:val="20"/>
                <w:szCs w:val="22"/>
              </w:rPr>
            </w:pPr>
          </w:p>
          <w:p w14:paraId="7FF04C45" w14:textId="77777777" w:rsidR="006374D0" w:rsidRDefault="006374D0">
            <w:pPr>
              <w:spacing w:before="60" w:after="60" w:line="240" w:lineRule="auto"/>
              <w:ind w:right="57"/>
              <w:rPr>
                <w:rFonts w:cs="Calibri"/>
                <w:sz w:val="20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AFE82" w14:textId="77777777" w:rsidR="006374D0" w:rsidRDefault="0083637B">
            <w:pPr>
              <w:spacing w:before="60" w:after="60" w:line="240" w:lineRule="auto"/>
              <w:ind w:left="57" w:right="5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Engaging the families facing most challenges in their son’s/daughter’s learning.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29C69" w14:textId="77777777" w:rsidR="006374D0" w:rsidRDefault="004E624E">
            <w:pPr>
              <w:numPr>
                <w:ilvl w:val="0"/>
                <w:numId w:val="27"/>
              </w:numPr>
              <w:spacing w:before="60" w:after="60" w:line="240" w:lineRule="auto"/>
              <w:ind w:right="5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Attendance Home School Link Officer, employed this year,</w:t>
            </w:r>
            <w:r w:rsidR="0083637B">
              <w:rPr>
                <w:sz w:val="20"/>
                <w:szCs w:val="22"/>
              </w:rPr>
              <w:t xml:space="preserve"> to develop systems to work closely with parents to help improve their son/daughter’s punctuality, attendance and aspirations.  </w:t>
            </w:r>
          </w:p>
          <w:p w14:paraId="48676A85" w14:textId="77777777" w:rsidR="006374D0" w:rsidRDefault="0083637B">
            <w:pPr>
              <w:numPr>
                <w:ilvl w:val="0"/>
                <w:numId w:val="27"/>
              </w:numPr>
              <w:spacing w:before="60" w:after="60" w:line="240" w:lineRule="auto"/>
              <w:ind w:right="5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To help parents confidently and effectively support home learning parent’s workshops on phonics, maths and writing will ta</w:t>
            </w:r>
            <w:r w:rsidR="00AD6E9F">
              <w:rPr>
                <w:sz w:val="20"/>
                <w:szCs w:val="22"/>
              </w:rPr>
              <w:t>ke place throughout the school year.</w:t>
            </w:r>
          </w:p>
          <w:p w14:paraId="426E4C41" w14:textId="77777777" w:rsidR="00AD6E9F" w:rsidRDefault="00AD6E9F">
            <w:pPr>
              <w:numPr>
                <w:ilvl w:val="0"/>
                <w:numId w:val="27"/>
              </w:numPr>
              <w:spacing w:before="60" w:after="60" w:line="240" w:lineRule="auto"/>
              <w:ind w:right="5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To implement Gatsby project achieving the benchmark for good career guidance over 2 years.</w:t>
            </w:r>
          </w:p>
        </w:tc>
      </w:tr>
    </w:tbl>
    <w:p w14:paraId="16B7E339" w14:textId="77777777" w:rsidR="0037285F" w:rsidRDefault="0037285F">
      <w:pPr>
        <w:keepNext/>
        <w:spacing w:before="480" w:line="240" w:lineRule="auto"/>
        <w:outlineLvl w:val="1"/>
        <w:rPr>
          <w:b/>
          <w:color w:val="104F75"/>
        </w:rPr>
      </w:pPr>
    </w:p>
    <w:p w14:paraId="2794B410" w14:textId="77777777" w:rsidR="006374D0" w:rsidRDefault="0083637B">
      <w:pPr>
        <w:keepNext/>
        <w:spacing w:before="480" w:line="240" w:lineRule="auto"/>
        <w:outlineLvl w:val="1"/>
        <w:rPr>
          <w:b/>
          <w:color w:val="104F75"/>
        </w:rPr>
      </w:pPr>
      <w:r>
        <w:rPr>
          <w:b/>
          <w:color w:val="104F75"/>
        </w:rPr>
        <w:t>Review: last year’s aims and outcomes</w:t>
      </w:r>
    </w:p>
    <w:tbl>
      <w:tblPr>
        <w:tblW w:w="146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7"/>
        <w:gridCol w:w="8858"/>
      </w:tblGrid>
      <w:tr w:rsidR="006374D0" w14:paraId="21E5CA7B" w14:textId="77777777" w:rsidTr="0036544A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7FB0" w14:textId="77777777" w:rsidR="006374D0" w:rsidRDefault="0083637B">
            <w:pPr>
              <w:spacing w:before="60" w:after="60" w:line="240" w:lineRule="auto"/>
              <w:ind w:left="57" w:right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Aims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B4D6A" w14:textId="77777777" w:rsidR="006374D0" w:rsidRDefault="0083637B">
            <w:pPr>
              <w:spacing w:before="60" w:after="60" w:line="240" w:lineRule="auto"/>
              <w:ind w:left="57" w:right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Outcomes</w:t>
            </w:r>
          </w:p>
        </w:tc>
      </w:tr>
      <w:tr w:rsidR="006374D0" w14:paraId="35A1696A" w14:textId="77777777" w:rsidTr="0036544A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5848A" w14:textId="77777777" w:rsidR="006374D0" w:rsidRPr="00C3572C" w:rsidRDefault="0083637B">
            <w:pPr>
              <w:spacing w:before="60" w:after="60" w:line="240" w:lineRule="auto"/>
              <w:ind w:left="57" w:right="57"/>
              <w:rPr>
                <w:rFonts w:cs="Arial"/>
                <w:sz w:val="22"/>
                <w:szCs w:val="22"/>
              </w:rPr>
            </w:pPr>
            <w:r w:rsidRPr="00C3572C">
              <w:rPr>
                <w:rFonts w:cs="Arial"/>
                <w:color w:val="auto"/>
                <w:sz w:val="22"/>
                <w:szCs w:val="22"/>
              </w:rPr>
              <w:t>Disadvantaged leaners to achieve positive progress scores for reading, writing and maths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A49EC" w14:textId="77777777" w:rsidR="006374D0" w:rsidRPr="00C3572C" w:rsidRDefault="0083637B">
            <w:pPr>
              <w:spacing w:before="60" w:after="60" w:line="240" w:lineRule="auto"/>
              <w:ind w:left="57" w:right="57"/>
              <w:rPr>
                <w:rFonts w:cs="Arial"/>
                <w:sz w:val="22"/>
                <w:szCs w:val="22"/>
              </w:rPr>
            </w:pPr>
            <w:r w:rsidRPr="00C3572C">
              <w:rPr>
                <w:rFonts w:cs="Arial"/>
                <w:color w:val="auto"/>
                <w:sz w:val="22"/>
                <w:szCs w:val="22"/>
              </w:rPr>
              <w:t>Aim achieved.  Year 6 disadvantaged learners achieved positive progress scores in reading, writing and maths.</w:t>
            </w:r>
          </w:p>
          <w:p w14:paraId="3BC2A785" w14:textId="77777777" w:rsidR="006374D0" w:rsidRPr="00C3572C" w:rsidRDefault="0083637B">
            <w:pPr>
              <w:spacing w:before="60" w:after="60" w:line="240" w:lineRule="auto"/>
              <w:ind w:left="57" w:right="57"/>
              <w:rPr>
                <w:rFonts w:cs="Arial"/>
                <w:sz w:val="22"/>
                <w:szCs w:val="22"/>
              </w:rPr>
            </w:pPr>
            <w:r w:rsidRPr="00C3572C">
              <w:rPr>
                <w:rFonts w:cs="Arial"/>
                <w:color w:val="auto"/>
                <w:sz w:val="22"/>
                <w:szCs w:val="22"/>
              </w:rPr>
              <w:t xml:space="preserve">2019 Reading = +2.13      2019 Writing = + 0.35      2019 Maths = + 0.75           </w:t>
            </w:r>
          </w:p>
        </w:tc>
      </w:tr>
      <w:tr w:rsidR="006374D0" w14:paraId="4137691E" w14:textId="77777777" w:rsidTr="0036544A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5E805" w14:textId="77777777" w:rsidR="006374D0" w:rsidRPr="00C3572C" w:rsidRDefault="0036544A">
            <w:pPr>
              <w:spacing w:before="60" w:after="60" w:line="240" w:lineRule="auto"/>
              <w:ind w:left="57" w:right="57"/>
              <w:rPr>
                <w:rFonts w:cs="Arial"/>
                <w:sz w:val="22"/>
                <w:szCs w:val="22"/>
              </w:rPr>
            </w:pPr>
            <w:r w:rsidRPr="00C3572C">
              <w:rPr>
                <w:rFonts w:cs="Arial"/>
                <w:sz w:val="22"/>
                <w:szCs w:val="22"/>
              </w:rPr>
              <w:t>Targeted support for PP children.</w:t>
            </w:r>
          </w:p>
          <w:p w14:paraId="56B2B97E" w14:textId="77777777" w:rsidR="0036544A" w:rsidRPr="00C3572C" w:rsidRDefault="0036544A" w:rsidP="0036544A">
            <w:pPr>
              <w:spacing w:before="60" w:after="60" w:line="240" w:lineRule="auto"/>
              <w:ind w:left="57" w:right="57"/>
              <w:rPr>
                <w:rFonts w:cs="Arial"/>
                <w:sz w:val="22"/>
                <w:szCs w:val="22"/>
              </w:rPr>
            </w:pPr>
            <w:r w:rsidRPr="00C3572C">
              <w:rPr>
                <w:rFonts w:cs="Arial"/>
                <w:sz w:val="22"/>
                <w:szCs w:val="22"/>
              </w:rPr>
              <w:t>Targets (PP only):</w:t>
            </w:r>
          </w:p>
          <w:p w14:paraId="21830106" w14:textId="77777777" w:rsidR="0036544A" w:rsidRPr="00C3572C" w:rsidRDefault="0036544A" w:rsidP="0036544A">
            <w:pPr>
              <w:spacing w:before="60" w:after="60" w:line="240" w:lineRule="auto"/>
              <w:ind w:left="57" w:right="57"/>
              <w:rPr>
                <w:rFonts w:cs="Arial"/>
                <w:sz w:val="22"/>
                <w:szCs w:val="22"/>
              </w:rPr>
            </w:pPr>
            <w:r w:rsidRPr="00C3572C">
              <w:rPr>
                <w:rFonts w:cs="Arial"/>
                <w:sz w:val="22"/>
                <w:szCs w:val="22"/>
              </w:rPr>
              <w:t>Reception - 67% achieve a Good Level of Development</w:t>
            </w:r>
          </w:p>
          <w:p w14:paraId="39CB0C63" w14:textId="77777777" w:rsidR="0036544A" w:rsidRPr="00C3572C" w:rsidRDefault="0036544A" w:rsidP="0036544A">
            <w:pPr>
              <w:spacing w:before="60" w:after="60" w:line="240" w:lineRule="auto"/>
              <w:ind w:left="57" w:right="57"/>
              <w:rPr>
                <w:rFonts w:cs="Arial"/>
                <w:sz w:val="22"/>
                <w:szCs w:val="22"/>
              </w:rPr>
            </w:pPr>
            <w:r w:rsidRPr="00C3572C">
              <w:rPr>
                <w:rFonts w:cs="Arial"/>
                <w:sz w:val="22"/>
                <w:szCs w:val="22"/>
              </w:rPr>
              <w:t xml:space="preserve">Key Stage 1 Assessments – </w:t>
            </w:r>
          </w:p>
          <w:p w14:paraId="3DA6F733" w14:textId="77777777" w:rsidR="0036544A" w:rsidRPr="00C3572C" w:rsidRDefault="0036544A" w:rsidP="0036544A">
            <w:pPr>
              <w:spacing w:before="60" w:after="60" w:line="240" w:lineRule="auto"/>
              <w:ind w:left="57" w:right="57"/>
              <w:rPr>
                <w:rFonts w:cs="Arial"/>
                <w:sz w:val="22"/>
                <w:szCs w:val="22"/>
              </w:rPr>
            </w:pPr>
            <w:r w:rsidRPr="00C3572C">
              <w:rPr>
                <w:rFonts w:cs="Arial"/>
                <w:sz w:val="22"/>
                <w:szCs w:val="22"/>
              </w:rPr>
              <w:t>Phonics 75% to pass in Y1</w:t>
            </w:r>
          </w:p>
          <w:p w14:paraId="49663312" w14:textId="77777777" w:rsidR="0036544A" w:rsidRPr="00C3572C" w:rsidRDefault="0036544A" w:rsidP="0036544A">
            <w:pPr>
              <w:spacing w:before="60" w:after="60" w:line="240" w:lineRule="auto"/>
              <w:ind w:left="57" w:right="57"/>
              <w:rPr>
                <w:rFonts w:cs="Arial"/>
                <w:sz w:val="22"/>
                <w:szCs w:val="22"/>
              </w:rPr>
            </w:pPr>
            <w:r w:rsidRPr="00C3572C">
              <w:rPr>
                <w:rFonts w:cs="Arial"/>
                <w:sz w:val="22"/>
                <w:szCs w:val="22"/>
              </w:rPr>
              <w:t>Reading 70% @ EXS, 26% @ GDS</w:t>
            </w:r>
          </w:p>
          <w:p w14:paraId="70C227AE" w14:textId="77777777" w:rsidR="0036544A" w:rsidRPr="00C3572C" w:rsidRDefault="0036544A" w:rsidP="0036544A">
            <w:pPr>
              <w:spacing w:before="60" w:after="60" w:line="240" w:lineRule="auto"/>
              <w:ind w:left="57" w:right="57"/>
              <w:rPr>
                <w:rFonts w:cs="Arial"/>
                <w:sz w:val="22"/>
                <w:szCs w:val="22"/>
              </w:rPr>
            </w:pPr>
            <w:r w:rsidRPr="00C3572C">
              <w:rPr>
                <w:rFonts w:cs="Arial"/>
                <w:sz w:val="22"/>
                <w:szCs w:val="22"/>
              </w:rPr>
              <w:t>Writing 70% @ EXS, 15% @ GDS</w:t>
            </w:r>
          </w:p>
          <w:p w14:paraId="63793EDC" w14:textId="77777777" w:rsidR="0036544A" w:rsidRPr="00C3572C" w:rsidRDefault="0036544A" w:rsidP="0036544A">
            <w:pPr>
              <w:spacing w:before="60" w:after="60" w:line="240" w:lineRule="auto"/>
              <w:ind w:left="57" w:right="57"/>
              <w:rPr>
                <w:rFonts w:cs="Arial"/>
                <w:sz w:val="22"/>
                <w:szCs w:val="22"/>
              </w:rPr>
            </w:pPr>
            <w:r w:rsidRPr="00C3572C">
              <w:rPr>
                <w:rFonts w:cs="Arial"/>
                <w:sz w:val="22"/>
                <w:szCs w:val="22"/>
              </w:rPr>
              <w:t>Maths 73% @ EXS, 19% @ GDS</w:t>
            </w:r>
          </w:p>
          <w:p w14:paraId="3D6D797B" w14:textId="77777777" w:rsidR="0036544A" w:rsidRPr="00C3572C" w:rsidRDefault="0036544A" w:rsidP="0036544A">
            <w:pPr>
              <w:spacing w:before="60" w:after="60" w:line="240" w:lineRule="auto"/>
              <w:ind w:left="57" w:right="57"/>
              <w:rPr>
                <w:rFonts w:cs="Arial"/>
                <w:sz w:val="22"/>
                <w:szCs w:val="22"/>
              </w:rPr>
            </w:pPr>
            <w:r w:rsidRPr="00C3572C">
              <w:rPr>
                <w:rFonts w:cs="Arial"/>
                <w:sz w:val="22"/>
                <w:szCs w:val="22"/>
              </w:rPr>
              <w:t xml:space="preserve">Key Stage 2 Assessments – </w:t>
            </w:r>
          </w:p>
          <w:p w14:paraId="2BDA2B51" w14:textId="77777777" w:rsidR="0036544A" w:rsidRPr="00C3572C" w:rsidRDefault="0036544A" w:rsidP="0036544A">
            <w:pPr>
              <w:spacing w:before="60" w:after="60" w:line="240" w:lineRule="auto"/>
              <w:ind w:left="57" w:right="57"/>
              <w:rPr>
                <w:rFonts w:cs="Arial"/>
                <w:sz w:val="22"/>
                <w:szCs w:val="22"/>
              </w:rPr>
            </w:pPr>
            <w:r w:rsidRPr="00C3572C">
              <w:rPr>
                <w:rFonts w:cs="Arial"/>
                <w:sz w:val="22"/>
                <w:szCs w:val="22"/>
              </w:rPr>
              <w:t>Reading 71% @ EXS, 24% @ GDS</w:t>
            </w:r>
          </w:p>
          <w:p w14:paraId="6BBC8EC6" w14:textId="77777777" w:rsidR="0036544A" w:rsidRPr="00C3572C" w:rsidRDefault="0036544A" w:rsidP="0036544A">
            <w:pPr>
              <w:spacing w:before="60" w:after="60" w:line="240" w:lineRule="auto"/>
              <w:ind w:left="57" w:right="57"/>
              <w:rPr>
                <w:rFonts w:cs="Arial"/>
                <w:sz w:val="22"/>
                <w:szCs w:val="22"/>
              </w:rPr>
            </w:pPr>
            <w:r w:rsidRPr="00C3572C">
              <w:rPr>
                <w:rFonts w:cs="Arial"/>
                <w:sz w:val="22"/>
                <w:szCs w:val="22"/>
              </w:rPr>
              <w:t>Writing 63% @ EXS, 12% @ GDS</w:t>
            </w:r>
          </w:p>
          <w:p w14:paraId="3BBE45A7" w14:textId="77777777" w:rsidR="0036544A" w:rsidRPr="00C3572C" w:rsidRDefault="0036544A" w:rsidP="0036544A">
            <w:pPr>
              <w:spacing w:before="60" w:after="60" w:line="240" w:lineRule="auto"/>
              <w:ind w:left="57" w:right="57"/>
              <w:rPr>
                <w:rFonts w:cs="Arial"/>
                <w:sz w:val="22"/>
                <w:szCs w:val="22"/>
              </w:rPr>
            </w:pPr>
            <w:r w:rsidRPr="00C3572C">
              <w:rPr>
                <w:rFonts w:cs="Arial"/>
                <w:sz w:val="22"/>
                <w:szCs w:val="22"/>
              </w:rPr>
              <w:t>Maths 70% @ EXS, 19% @ GDS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2FE19" w14:textId="77777777" w:rsidR="006374D0" w:rsidRPr="00C3572C" w:rsidRDefault="0036544A">
            <w:pPr>
              <w:spacing w:before="60" w:after="60" w:line="240" w:lineRule="auto"/>
              <w:ind w:left="57" w:right="57"/>
              <w:rPr>
                <w:rFonts w:cs="Arial"/>
                <w:sz w:val="22"/>
                <w:szCs w:val="22"/>
              </w:rPr>
            </w:pPr>
            <w:r w:rsidRPr="00C3572C">
              <w:rPr>
                <w:rFonts w:cs="Arial"/>
                <w:sz w:val="22"/>
                <w:szCs w:val="22"/>
              </w:rPr>
              <w:t>Results (PP only):</w:t>
            </w:r>
          </w:p>
          <w:p w14:paraId="755AC42B" w14:textId="77777777" w:rsidR="0036544A" w:rsidRPr="00C3572C" w:rsidRDefault="0036544A" w:rsidP="0036544A">
            <w:pPr>
              <w:spacing w:before="60" w:after="60" w:line="240" w:lineRule="auto"/>
              <w:ind w:left="57" w:right="57"/>
              <w:rPr>
                <w:rFonts w:cs="Arial"/>
                <w:sz w:val="22"/>
                <w:szCs w:val="22"/>
              </w:rPr>
            </w:pPr>
            <w:r w:rsidRPr="00C3572C">
              <w:rPr>
                <w:rFonts w:cs="Arial"/>
                <w:sz w:val="22"/>
                <w:szCs w:val="22"/>
              </w:rPr>
              <w:t>Reception - 66% achieved a Good Level of Development</w:t>
            </w:r>
          </w:p>
          <w:p w14:paraId="3624A394" w14:textId="77777777" w:rsidR="0036544A" w:rsidRPr="00C3572C" w:rsidRDefault="0036544A" w:rsidP="0036544A">
            <w:pPr>
              <w:spacing w:before="60" w:after="60" w:line="240" w:lineRule="auto"/>
              <w:ind w:left="57" w:right="57"/>
              <w:rPr>
                <w:rFonts w:cs="Arial"/>
                <w:sz w:val="22"/>
                <w:szCs w:val="22"/>
              </w:rPr>
            </w:pPr>
            <w:r w:rsidRPr="00C3572C">
              <w:rPr>
                <w:rFonts w:cs="Arial"/>
                <w:sz w:val="22"/>
                <w:szCs w:val="22"/>
              </w:rPr>
              <w:t>Phonics 75% to pass in Y1</w:t>
            </w:r>
          </w:p>
          <w:p w14:paraId="36A42548" w14:textId="77777777" w:rsidR="0036544A" w:rsidRPr="00C3572C" w:rsidRDefault="0036544A" w:rsidP="0036544A">
            <w:pPr>
              <w:spacing w:before="60" w:after="60" w:line="240" w:lineRule="auto"/>
              <w:ind w:left="57" w:right="57"/>
              <w:rPr>
                <w:rFonts w:cs="Arial"/>
                <w:sz w:val="22"/>
                <w:szCs w:val="22"/>
              </w:rPr>
            </w:pPr>
            <w:r w:rsidRPr="00C3572C">
              <w:rPr>
                <w:rFonts w:cs="Arial"/>
                <w:sz w:val="22"/>
                <w:szCs w:val="22"/>
              </w:rPr>
              <w:t xml:space="preserve">Key Stage 1 Assessments – </w:t>
            </w:r>
          </w:p>
          <w:p w14:paraId="5236FDB1" w14:textId="77777777" w:rsidR="0036544A" w:rsidRPr="00C3572C" w:rsidRDefault="0036544A" w:rsidP="0036544A">
            <w:pPr>
              <w:spacing w:before="60" w:after="60" w:line="240" w:lineRule="auto"/>
              <w:ind w:left="57" w:right="57"/>
              <w:rPr>
                <w:rFonts w:cs="Arial"/>
                <w:sz w:val="22"/>
                <w:szCs w:val="22"/>
              </w:rPr>
            </w:pPr>
            <w:r w:rsidRPr="00C3572C">
              <w:rPr>
                <w:rFonts w:cs="Arial"/>
                <w:sz w:val="22"/>
                <w:szCs w:val="22"/>
              </w:rPr>
              <w:t>Reading 68% @ EXS, 24% @ GDS</w:t>
            </w:r>
          </w:p>
          <w:p w14:paraId="22AF5488" w14:textId="77777777" w:rsidR="0036544A" w:rsidRPr="00C3572C" w:rsidRDefault="0036544A" w:rsidP="0036544A">
            <w:pPr>
              <w:spacing w:before="60" w:after="60" w:line="240" w:lineRule="auto"/>
              <w:ind w:left="57" w:right="57"/>
              <w:rPr>
                <w:rFonts w:cs="Arial"/>
                <w:sz w:val="22"/>
                <w:szCs w:val="22"/>
              </w:rPr>
            </w:pPr>
            <w:r w:rsidRPr="00C3572C">
              <w:rPr>
                <w:rFonts w:cs="Arial"/>
                <w:sz w:val="22"/>
                <w:szCs w:val="22"/>
                <w:highlight w:val="yellow"/>
              </w:rPr>
              <w:t>Writing 59% @ EXS</w:t>
            </w:r>
            <w:r w:rsidRPr="00C3572C">
              <w:rPr>
                <w:rFonts w:cs="Arial"/>
                <w:sz w:val="22"/>
                <w:szCs w:val="22"/>
              </w:rPr>
              <w:t>, 13% @ GDS</w:t>
            </w:r>
          </w:p>
          <w:p w14:paraId="3B4AA818" w14:textId="77777777" w:rsidR="0036544A" w:rsidRPr="00C3572C" w:rsidRDefault="0036544A" w:rsidP="0036544A">
            <w:pPr>
              <w:spacing w:before="60" w:after="60" w:line="240" w:lineRule="auto"/>
              <w:ind w:left="57" w:right="57"/>
              <w:rPr>
                <w:rFonts w:cs="Arial"/>
                <w:sz w:val="22"/>
                <w:szCs w:val="22"/>
              </w:rPr>
            </w:pPr>
            <w:r w:rsidRPr="00C3572C">
              <w:rPr>
                <w:rFonts w:cs="Arial"/>
                <w:sz w:val="22"/>
                <w:szCs w:val="22"/>
              </w:rPr>
              <w:t>Maths 69% @ EXS, 21% @ GDS</w:t>
            </w:r>
          </w:p>
          <w:p w14:paraId="3A1F6D85" w14:textId="77777777" w:rsidR="0036544A" w:rsidRPr="00C3572C" w:rsidRDefault="0036544A" w:rsidP="0036544A">
            <w:pPr>
              <w:spacing w:before="60" w:after="60" w:line="240" w:lineRule="auto"/>
              <w:ind w:left="57" w:right="57"/>
              <w:rPr>
                <w:rFonts w:cs="Arial"/>
                <w:sz w:val="22"/>
                <w:szCs w:val="22"/>
              </w:rPr>
            </w:pPr>
            <w:r w:rsidRPr="00C3572C">
              <w:rPr>
                <w:rFonts w:cs="Arial"/>
                <w:sz w:val="22"/>
                <w:szCs w:val="22"/>
              </w:rPr>
              <w:t xml:space="preserve">Key Stage 2 Assessments – </w:t>
            </w:r>
          </w:p>
          <w:p w14:paraId="62B9681F" w14:textId="77777777" w:rsidR="0036544A" w:rsidRPr="00C3572C" w:rsidRDefault="0036544A" w:rsidP="0036544A">
            <w:pPr>
              <w:spacing w:before="60" w:after="60" w:line="240" w:lineRule="auto"/>
              <w:ind w:left="57" w:right="57"/>
              <w:rPr>
                <w:rFonts w:cs="Arial"/>
                <w:sz w:val="22"/>
                <w:szCs w:val="22"/>
              </w:rPr>
            </w:pPr>
            <w:r w:rsidRPr="00C3572C">
              <w:rPr>
                <w:rFonts w:cs="Arial"/>
                <w:sz w:val="22"/>
                <w:szCs w:val="22"/>
              </w:rPr>
              <w:t>Reading 72% @ EXS, 21% @ GDS</w:t>
            </w:r>
          </w:p>
          <w:p w14:paraId="7DDC612C" w14:textId="77777777" w:rsidR="0036544A" w:rsidRPr="00C3572C" w:rsidRDefault="0036544A" w:rsidP="0036544A">
            <w:pPr>
              <w:spacing w:before="60" w:after="60" w:line="240" w:lineRule="auto"/>
              <w:ind w:left="57" w:right="57"/>
              <w:rPr>
                <w:rFonts w:cs="Arial"/>
                <w:sz w:val="22"/>
                <w:szCs w:val="22"/>
              </w:rPr>
            </w:pPr>
            <w:r w:rsidRPr="00C3572C">
              <w:rPr>
                <w:rFonts w:cs="Arial"/>
                <w:sz w:val="22"/>
                <w:szCs w:val="22"/>
                <w:highlight w:val="green"/>
              </w:rPr>
              <w:t>Writing 75% @ EXS</w:t>
            </w:r>
            <w:r w:rsidRPr="00C3572C">
              <w:rPr>
                <w:rFonts w:cs="Arial"/>
                <w:sz w:val="22"/>
                <w:szCs w:val="22"/>
              </w:rPr>
              <w:t>, 11% @ GDS</w:t>
            </w:r>
          </w:p>
          <w:p w14:paraId="0A88D51E" w14:textId="77777777" w:rsidR="0036544A" w:rsidRPr="00C3572C" w:rsidRDefault="0036544A" w:rsidP="0036544A">
            <w:pPr>
              <w:spacing w:before="60" w:after="60" w:line="240" w:lineRule="auto"/>
              <w:ind w:left="57" w:right="57"/>
              <w:rPr>
                <w:rFonts w:cs="Arial"/>
                <w:sz w:val="22"/>
                <w:szCs w:val="22"/>
              </w:rPr>
            </w:pPr>
            <w:r w:rsidRPr="00C3572C">
              <w:rPr>
                <w:rFonts w:cs="Arial"/>
                <w:sz w:val="22"/>
                <w:szCs w:val="22"/>
              </w:rPr>
              <w:t>Maths 73% @ EXS, 15% @ GDS</w:t>
            </w:r>
          </w:p>
          <w:p w14:paraId="3E648464" w14:textId="77777777" w:rsidR="006374D0" w:rsidRPr="00C3572C" w:rsidRDefault="006374D0">
            <w:pPr>
              <w:spacing w:before="60" w:after="60" w:line="240" w:lineRule="auto"/>
              <w:ind w:left="57" w:right="57"/>
              <w:rPr>
                <w:rFonts w:cs="Arial"/>
                <w:sz w:val="22"/>
                <w:szCs w:val="22"/>
              </w:rPr>
            </w:pPr>
          </w:p>
          <w:p w14:paraId="3137B56A" w14:textId="77777777" w:rsidR="006374D0" w:rsidRPr="00C3572C" w:rsidRDefault="006374D0">
            <w:pPr>
              <w:spacing w:before="60" w:after="60" w:line="240" w:lineRule="auto"/>
              <w:ind w:left="57" w:right="57"/>
              <w:rPr>
                <w:rFonts w:cs="Arial"/>
                <w:sz w:val="22"/>
                <w:szCs w:val="22"/>
              </w:rPr>
            </w:pPr>
          </w:p>
        </w:tc>
      </w:tr>
      <w:tr w:rsidR="006374D0" w14:paraId="0B0295EB" w14:textId="77777777" w:rsidTr="0036544A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873ED" w14:textId="77777777" w:rsidR="00C3572C" w:rsidRPr="00C3572C" w:rsidRDefault="00C3572C">
            <w:pPr>
              <w:spacing w:before="60" w:after="60" w:line="240" w:lineRule="auto"/>
              <w:ind w:left="57" w:right="57"/>
              <w:rPr>
                <w:rFonts w:cs="Arial"/>
                <w:sz w:val="22"/>
                <w:szCs w:val="22"/>
              </w:rPr>
            </w:pPr>
            <w:r w:rsidRPr="00C3572C">
              <w:rPr>
                <w:rFonts w:cs="Arial"/>
                <w:sz w:val="22"/>
                <w:szCs w:val="22"/>
              </w:rPr>
              <w:t xml:space="preserve">The attendance rate of pupil premium children to improve from 94.49% to 95.1% or better. </w:t>
            </w:r>
          </w:p>
          <w:p w14:paraId="7613FE45" w14:textId="77777777" w:rsidR="006374D0" w:rsidRPr="00C3572C" w:rsidRDefault="00C3572C">
            <w:pPr>
              <w:spacing w:before="60" w:after="60" w:line="240" w:lineRule="auto"/>
              <w:ind w:left="57" w:right="57"/>
              <w:rPr>
                <w:rFonts w:cs="Arial"/>
                <w:sz w:val="22"/>
                <w:szCs w:val="22"/>
              </w:rPr>
            </w:pPr>
            <w:r w:rsidRPr="00C3572C">
              <w:rPr>
                <w:rFonts w:cs="Arial"/>
                <w:sz w:val="22"/>
                <w:szCs w:val="22"/>
              </w:rPr>
              <w:t>The persistent absence rate of pupil premium pupils to reduce from 12.65% to 12% or less by July 2020.</w:t>
            </w: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E9F97" w14:textId="77777777" w:rsidR="006374D0" w:rsidRDefault="00C3572C">
            <w:pPr>
              <w:spacing w:before="60" w:after="60" w:line="240" w:lineRule="auto"/>
              <w:ind w:left="57" w:right="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By the end of 2018-19:</w:t>
            </w:r>
          </w:p>
          <w:p w14:paraId="640D4DE1" w14:textId="77777777" w:rsidR="00C3572C" w:rsidRDefault="00C3572C">
            <w:pPr>
              <w:spacing w:before="60" w:after="60" w:line="240" w:lineRule="auto"/>
              <w:ind w:left="57" w:right="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PP attendance </w:t>
            </w:r>
            <w:r w:rsidR="00954573">
              <w:rPr>
                <w:rFonts w:cs="Arial"/>
                <w:sz w:val="22"/>
                <w:szCs w:val="22"/>
              </w:rPr>
              <w:t>94.56%</w:t>
            </w:r>
          </w:p>
          <w:p w14:paraId="6D718B79" w14:textId="77777777" w:rsidR="00954573" w:rsidRDefault="00954573">
            <w:pPr>
              <w:spacing w:before="60" w:after="60" w:line="240" w:lineRule="auto"/>
              <w:ind w:left="57" w:right="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PP persistent absence 14.47%</w:t>
            </w:r>
          </w:p>
          <w:p w14:paraId="38009FE3" w14:textId="77777777" w:rsidR="006374D0" w:rsidRPr="00C3572C" w:rsidRDefault="00954573">
            <w:pPr>
              <w:spacing w:before="60" w:after="60" w:line="240" w:lineRule="auto"/>
              <w:ind w:left="57" w:right="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attendance of individual pupils has shown improvement, </w:t>
            </w:r>
            <w:r w:rsidR="00306414">
              <w:rPr>
                <w:rFonts w:cs="Arial"/>
                <w:sz w:val="22"/>
                <w:szCs w:val="22"/>
              </w:rPr>
              <w:t>of 57 pupil premium persistent absentees in 2017-</w:t>
            </w:r>
            <w:proofErr w:type="gramStart"/>
            <w:r w:rsidR="00306414">
              <w:rPr>
                <w:rFonts w:cs="Arial"/>
                <w:sz w:val="22"/>
                <w:szCs w:val="22"/>
              </w:rPr>
              <w:t>18  the</w:t>
            </w:r>
            <w:proofErr w:type="gramEnd"/>
            <w:r w:rsidR="00306414">
              <w:rPr>
                <w:rFonts w:cs="Arial"/>
                <w:sz w:val="22"/>
                <w:szCs w:val="22"/>
              </w:rPr>
              <w:t xml:space="preserve"> average improvement in attendance was 6 </w:t>
            </w:r>
            <w:r w:rsidR="00306414">
              <w:rPr>
                <w:rFonts w:cs="Arial"/>
                <w:sz w:val="22"/>
                <w:szCs w:val="22"/>
              </w:rPr>
              <w:lastRenderedPageBreak/>
              <w:t xml:space="preserve">percentage points. This is a total of 645 additional days in school for our lowest PP school attenders. </w:t>
            </w:r>
          </w:p>
        </w:tc>
      </w:tr>
    </w:tbl>
    <w:p w14:paraId="7D3E12A9" w14:textId="77777777" w:rsidR="006374D0" w:rsidRDefault="006374D0">
      <w:pPr>
        <w:rPr>
          <w:b/>
          <w:color w:val="104F75"/>
        </w:rPr>
      </w:pPr>
    </w:p>
    <w:p w14:paraId="515EE9BC" w14:textId="77777777" w:rsidR="006374D0" w:rsidRDefault="006374D0">
      <w:pPr>
        <w:pStyle w:val="Heading2"/>
        <w:rPr>
          <w:b w:val="0"/>
          <w:bCs/>
          <w:color w:val="auto"/>
          <w:sz w:val="24"/>
          <w:szCs w:val="24"/>
        </w:rPr>
      </w:pPr>
    </w:p>
    <w:p w14:paraId="4139B361" w14:textId="77777777" w:rsidR="006374D0" w:rsidRDefault="006374D0"/>
    <w:sectPr w:rsidR="006374D0">
      <w:footerReference w:type="default" r:id="rId8"/>
      <w:pgSz w:w="16838" w:h="11906" w:orient="landscape"/>
      <w:pgMar w:top="1134" w:right="1134" w:bottom="1276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36A4A" w14:textId="77777777" w:rsidR="003148BF" w:rsidRDefault="003148BF">
      <w:pPr>
        <w:spacing w:after="0" w:line="240" w:lineRule="auto"/>
      </w:pPr>
      <w:r>
        <w:separator/>
      </w:r>
    </w:p>
  </w:endnote>
  <w:endnote w:type="continuationSeparator" w:id="0">
    <w:p w14:paraId="2E068F9E" w14:textId="77777777" w:rsidR="003148BF" w:rsidRDefault="0031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68923" w14:textId="07582AAB" w:rsidR="004E624E" w:rsidRDefault="004E624E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 w:rsidR="008A1DAE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A392D" w14:textId="77777777" w:rsidR="003148BF" w:rsidRDefault="003148BF">
      <w:pPr>
        <w:spacing w:after="0" w:line="240" w:lineRule="auto"/>
      </w:pPr>
      <w:r>
        <w:separator/>
      </w:r>
    </w:p>
  </w:footnote>
  <w:footnote w:type="continuationSeparator" w:id="0">
    <w:p w14:paraId="0CE686EB" w14:textId="77777777" w:rsidR="003148BF" w:rsidRDefault="00314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14D"/>
    <w:multiLevelType w:val="multilevel"/>
    <w:tmpl w:val="64C43C04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1" w15:restartNumberingAfterBreak="0">
    <w:nsid w:val="00D87D9D"/>
    <w:multiLevelType w:val="multilevel"/>
    <w:tmpl w:val="69E01D54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1EE46B9"/>
    <w:multiLevelType w:val="multilevel"/>
    <w:tmpl w:val="B6D8FF98"/>
    <w:lvl w:ilvl="0">
      <w:numFmt w:val="bullet"/>
      <w:lvlText w:val=""/>
      <w:lvlJc w:val="left"/>
      <w:pPr>
        <w:ind w:left="77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7" w:hanging="360"/>
      </w:pPr>
      <w:rPr>
        <w:rFonts w:ascii="Wingdings" w:hAnsi="Wingdings"/>
      </w:rPr>
    </w:lvl>
  </w:abstractNum>
  <w:abstractNum w:abstractNumId="3" w15:restartNumberingAfterBreak="0">
    <w:nsid w:val="02E07755"/>
    <w:multiLevelType w:val="multilevel"/>
    <w:tmpl w:val="731C907E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5EF537C"/>
    <w:multiLevelType w:val="multilevel"/>
    <w:tmpl w:val="1156689C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1471414"/>
    <w:multiLevelType w:val="multilevel"/>
    <w:tmpl w:val="F394012C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7A541F2"/>
    <w:multiLevelType w:val="multilevel"/>
    <w:tmpl w:val="3AD09E88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7C934BA"/>
    <w:multiLevelType w:val="multilevel"/>
    <w:tmpl w:val="0AC48628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21700609"/>
    <w:multiLevelType w:val="multilevel"/>
    <w:tmpl w:val="8A043498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1BB30C3"/>
    <w:multiLevelType w:val="multilevel"/>
    <w:tmpl w:val="AA88B1F0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4035024"/>
    <w:multiLevelType w:val="multilevel"/>
    <w:tmpl w:val="9146C064"/>
    <w:lvl w:ilvl="0">
      <w:numFmt w:val="bullet"/>
      <w:lvlText w:val=""/>
      <w:lvlJc w:val="left"/>
      <w:pPr>
        <w:ind w:left="77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7" w:hanging="360"/>
      </w:pPr>
      <w:rPr>
        <w:rFonts w:ascii="Wingdings" w:hAnsi="Wingdings"/>
      </w:rPr>
    </w:lvl>
  </w:abstractNum>
  <w:abstractNum w:abstractNumId="11" w15:restartNumberingAfterBreak="0">
    <w:nsid w:val="26A66EC1"/>
    <w:multiLevelType w:val="multilevel"/>
    <w:tmpl w:val="56B0028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289108E8"/>
    <w:multiLevelType w:val="multilevel"/>
    <w:tmpl w:val="B2B661A6"/>
    <w:lvl w:ilvl="0">
      <w:numFmt w:val="bullet"/>
      <w:lvlText w:val=""/>
      <w:lvlJc w:val="left"/>
      <w:pPr>
        <w:ind w:left="77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7" w:hanging="360"/>
      </w:pPr>
      <w:rPr>
        <w:rFonts w:ascii="Wingdings" w:hAnsi="Wingdings"/>
      </w:rPr>
    </w:lvl>
  </w:abstractNum>
  <w:abstractNum w:abstractNumId="13" w15:restartNumberingAfterBreak="0">
    <w:nsid w:val="30C7712B"/>
    <w:multiLevelType w:val="multilevel"/>
    <w:tmpl w:val="794A7A9C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3A161DA"/>
    <w:multiLevelType w:val="multilevel"/>
    <w:tmpl w:val="5BC2B6CC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36F647DF"/>
    <w:multiLevelType w:val="multilevel"/>
    <w:tmpl w:val="01DCC6BA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6" w15:restartNumberingAfterBreak="0">
    <w:nsid w:val="3A38446B"/>
    <w:multiLevelType w:val="multilevel"/>
    <w:tmpl w:val="2328040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 w15:restartNumberingAfterBreak="0">
    <w:nsid w:val="41063BE3"/>
    <w:multiLevelType w:val="multilevel"/>
    <w:tmpl w:val="69BCC162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2980826"/>
    <w:multiLevelType w:val="multilevel"/>
    <w:tmpl w:val="B0EA7C96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81D5039"/>
    <w:multiLevelType w:val="multilevel"/>
    <w:tmpl w:val="D1261B12"/>
    <w:lvl w:ilvl="0">
      <w:numFmt w:val="bullet"/>
      <w:lvlText w:val=""/>
      <w:lvlJc w:val="left"/>
      <w:pPr>
        <w:ind w:left="77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7" w:hanging="360"/>
      </w:pPr>
      <w:rPr>
        <w:rFonts w:ascii="Wingdings" w:hAnsi="Wingdings"/>
      </w:rPr>
    </w:lvl>
  </w:abstractNum>
  <w:abstractNum w:abstractNumId="20" w15:restartNumberingAfterBreak="0">
    <w:nsid w:val="5A4431A3"/>
    <w:multiLevelType w:val="multilevel"/>
    <w:tmpl w:val="05A26C26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DDA3C94"/>
    <w:multiLevelType w:val="multilevel"/>
    <w:tmpl w:val="6B88A2FA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22" w15:restartNumberingAfterBreak="0">
    <w:nsid w:val="6738227D"/>
    <w:multiLevelType w:val="multilevel"/>
    <w:tmpl w:val="8498229E"/>
    <w:lvl w:ilvl="0">
      <w:numFmt w:val="bullet"/>
      <w:lvlText w:val=""/>
      <w:lvlJc w:val="left"/>
      <w:pPr>
        <w:ind w:left="77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7" w:hanging="360"/>
      </w:pPr>
      <w:rPr>
        <w:rFonts w:ascii="Wingdings" w:hAnsi="Wingdings"/>
      </w:rPr>
    </w:lvl>
  </w:abstractNum>
  <w:abstractNum w:abstractNumId="23" w15:restartNumberingAfterBreak="0">
    <w:nsid w:val="773F0341"/>
    <w:multiLevelType w:val="multilevel"/>
    <w:tmpl w:val="1A3854EA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78B5A88"/>
    <w:multiLevelType w:val="multilevel"/>
    <w:tmpl w:val="9A9E29C8"/>
    <w:lvl w:ilvl="0">
      <w:numFmt w:val="bullet"/>
      <w:lvlText w:val=""/>
      <w:lvlJc w:val="left"/>
      <w:pPr>
        <w:ind w:left="77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7" w:hanging="360"/>
      </w:pPr>
      <w:rPr>
        <w:rFonts w:ascii="Wingdings" w:hAnsi="Wingdings"/>
      </w:rPr>
    </w:lvl>
  </w:abstractNum>
  <w:abstractNum w:abstractNumId="25" w15:restartNumberingAfterBreak="0">
    <w:nsid w:val="7C4B0EB6"/>
    <w:multiLevelType w:val="multilevel"/>
    <w:tmpl w:val="029C97BE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FA22E03"/>
    <w:multiLevelType w:val="multilevel"/>
    <w:tmpl w:val="EACA00A6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3"/>
  </w:num>
  <w:num w:numId="2">
    <w:abstractNumId w:val="26"/>
  </w:num>
  <w:num w:numId="3">
    <w:abstractNumId w:val="9"/>
  </w:num>
  <w:num w:numId="4">
    <w:abstractNumId w:val="25"/>
  </w:num>
  <w:num w:numId="5">
    <w:abstractNumId w:val="1"/>
  </w:num>
  <w:num w:numId="6">
    <w:abstractNumId w:val="18"/>
  </w:num>
  <w:num w:numId="7">
    <w:abstractNumId w:val="3"/>
  </w:num>
  <w:num w:numId="8">
    <w:abstractNumId w:val="20"/>
  </w:num>
  <w:num w:numId="9">
    <w:abstractNumId w:val="17"/>
  </w:num>
  <w:num w:numId="10">
    <w:abstractNumId w:val="13"/>
  </w:num>
  <w:num w:numId="11">
    <w:abstractNumId w:val="5"/>
  </w:num>
  <w:num w:numId="12">
    <w:abstractNumId w:val="15"/>
  </w:num>
  <w:num w:numId="13">
    <w:abstractNumId w:val="14"/>
  </w:num>
  <w:num w:numId="14">
    <w:abstractNumId w:val="8"/>
  </w:num>
  <w:num w:numId="15">
    <w:abstractNumId w:val="6"/>
  </w:num>
  <w:num w:numId="16">
    <w:abstractNumId w:val="7"/>
  </w:num>
  <w:num w:numId="17">
    <w:abstractNumId w:val="4"/>
  </w:num>
  <w:num w:numId="18">
    <w:abstractNumId w:val="21"/>
  </w:num>
  <w:num w:numId="19">
    <w:abstractNumId w:val="0"/>
  </w:num>
  <w:num w:numId="20">
    <w:abstractNumId w:val="22"/>
  </w:num>
  <w:num w:numId="21">
    <w:abstractNumId w:val="10"/>
  </w:num>
  <w:num w:numId="22">
    <w:abstractNumId w:val="19"/>
  </w:num>
  <w:num w:numId="23">
    <w:abstractNumId w:val="16"/>
  </w:num>
  <w:num w:numId="24">
    <w:abstractNumId w:val="24"/>
  </w:num>
  <w:num w:numId="25">
    <w:abstractNumId w:val="2"/>
  </w:num>
  <w:num w:numId="26">
    <w:abstractNumId w:val="1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D0"/>
    <w:rsid w:val="00056F73"/>
    <w:rsid w:val="000B4484"/>
    <w:rsid w:val="000C65D1"/>
    <w:rsid w:val="00144F0C"/>
    <w:rsid w:val="00306414"/>
    <w:rsid w:val="003148BF"/>
    <w:rsid w:val="00332A51"/>
    <w:rsid w:val="0036544A"/>
    <w:rsid w:val="0037285F"/>
    <w:rsid w:val="003C60FC"/>
    <w:rsid w:val="00460AFB"/>
    <w:rsid w:val="004E624E"/>
    <w:rsid w:val="006374D0"/>
    <w:rsid w:val="00664B13"/>
    <w:rsid w:val="007317B9"/>
    <w:rsid w:val="00791BB9"/>
    <w:rsid w:val="007A3F57"/>
    <w:rsid w:val="0083637B"/>
    <w:rsid w:val="0087336E"/>
    <w:rsid w:val="008A1DAE"/>
    <w:rsid w:val="008D15B9"/>
    <w:rsid w:val="00954573"/>
    <w:rsid w:val="009F79EB"/>
    <w:rsid w:val="00A00F7D"/>
    <w:rsid w:val="00AD6E9F"/>
    <w:rsid w:val="00B07CA5"/>
    <w:rsid w:val="00C3572C"/>
    <w:rsid w:val="00E0317B"/>
    <w:rsid w:val="00F0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874D0"/>
  <w15:docId w15:val="{17464B20-278C-4CA2-9715-41C4837C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0">
    <w:name w:val="WW_OutlineListStyle_10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14"/>
      </w:numPr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13"/>
      </w:numPr>
    </w:pPr>
  </w:style>
  <w:style w:type="paragraph" w:styleId="ListParagraph">
    <w:name w:val="List Paragraph"/>
    <w:basedOn w:val="Normal"/>
    <w:pPr>
      <w:numPr>
        <w:numId w:val="17"/>
      </w:numPr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rPr>
      <w:rFonts w:ascii="Cambria" w:hAnsi="Cambria"/>
      <w:sz w:val="22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12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15"/>
      </w:numPr>
      <w:tabs>
        <w:tab w:val="left" w:pos="-5296"/>
      </w:tabs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16"/>
      </w:numPr>
    </w:pPr>
  </w:style>
  <w:style w:type="paragraph" w:customStyle="1" w:styleId="DfESOutNumbered">
    <w:name w:val="DfESOutNumbered"/>
    <w:basedOn w:val="Normal"/>
    <w:pPr>
      <w:widowControl w:val="0"/>
      <w:numPr>
        <w:numId w:val="18"/>
      </w:numPr>
      <w:overflowPunct w:val="0"/>
      <w:autoSpaceDE w:val="0"/>
      <w:spacing w:line="240" w:lineRule="auto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19"/>
      </w:numPr>
      <w:overflowPunct w:val="0"/>
      <w:autoSpaceDE w:val="0"/>
      <w:spacing w:line="240" w:lineRule="auto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NoSpacing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Style1">
    <w:name w:val="Style1"/>
    <w:basedOn w:val="DefaultParagraphFont"/>
    <w:rPr>
      <w:rFonts w:ascii="Arial" w:hAnsi="Arial"/>
      <w:b/>
      <w:sz w:val="24"/>
    </w:rPr>
  </w:style>
  <w:style w:type="character" w:customStyle="1" w:styleId="ListParagraphChar">
    <w:name w:val="List Paragraph Char"/>
    <w:rPr>
      <w:color w:val="0D0D0D"/>
      <w:sz w:val="24"/>
      <w:szCs w:val="24"/>
    </w:rPr>
  </w:style>
  <w:style w:type="numbering" w:customStyle="1" w:styleId="WWOutlineListStyle9">
    <w:name w:val="WW_OutlineListStyle_9"/>
    <w:basedOn w:val="NoList"/>
    <w:pPr>
      <w:numPr>
        <w:numId w:val="2"/>
      </w:numPr>
    </w:pPr>
  </w:style>
  <w:style w:type="numbering" w:customStyle="1" w:styleId="WWOutlineListStyle8">
    <w:name w:val="WW_OutlineListStyle_8"/>
    <w:basedOn w:val="NoList"/>
    <w:pPr>
      <w:numPr>
        <w:numId w:val="3"/>
      </w:numPr>
    </w:pPr>
  </w:style>
  <w:style w:type="numbering" w:customStyle="1" w:styleId="WWOutlineListStyle7">
    <w:name w:val="WW_OutlineListStyle_7"/>
    <w:basedOn w:val="NoList"/>
    <w:pPr>
      <w:numPr>
        <w:numId w:val="4"/>
      </w:numPr>
    </w:pPr>
  </w:style>
  <w:style w:type="numbering" w:customStyle="1" w:styleId="WWOutlineListStyle6">
    <w:name w:val="WW_OutlineListStyle_6"/>
    <w:basedOn w:val="NoList"/>
    <w:pPr>
      <w:numPr>
        <w:numId w:val="5"/>
      </w:numPr>
    </w:pPr>
  </w:style>
  <w:style w:type="numbering" w:customStyle="1" w:styleId="WWOutlineListStyle5">
    <w:name w:val="WW_OutlineListStyle_5"/>
    <w:basedOn w:val="NoList"/>
    <w:pPr>
      <w:numPr>
        <w:numId w:val="6"/>
      </w:numPr>
    </w:pPr>
  </w:style>
  <w:style w:type="numbering" w:customStyle="1" w:styleId="WWOutlineListStyle4">
    <w:name w:val="WW_OutlineListStyle_4"/>
    <w:basedOn w:val="NoList"/>
    <w:pPr>
      <w:numPr>
        <w:numId w:val="7"/>
      </w:numPr>
    </w:pPr>
  </w:style>
  <w:style w:type="numbering" w:customStyle="1" w:styleId="WWOutlineListStyle3">
    <w:name w:val="WW_OutlineListStyle_3"/>
    <w:basedOn w:val="NoList"/>
    <w:pPr>
      <w:numPr>
        <w:numId w:val="8"/>
      </w:numPr>
    </w:pPr>
  </w:style>
  <w:style w:type="numbering" w:customStyle="1" w:styleId="WWOutlineListStyle2">
    <w:name w:val="WW_OutlineListStyle_2"/>
    <w:basedOn w:val="NoList"/>
    <w:pPr>
      <w:numPr>
        <w:numId w:val="9"/>
      </w:numPr>
    </w:pPr>
  </w:style>
  <w:style w:type="numbering" w:customStyle="1" w:styleId="WWOutlineListStyle1">
    <w:name w:val="WW_OutlineListStyle_1"/>
    <w:basedOn w:val="NoList"/>
    <w:pPr>
      <w:numPr>
        <w:numId w:val="10"/>
      </w:numPr>
    </w:pPr>
  </w:style>
  <w:style w:type="numbering" w:customStyle="1" w:styleId="WWOutlineListStyle">
    <w:name w:val="WW_OutlineListStyle"/>
    <w:basedOn w:val="NoList"/>
    <w:pPr>
      <w:numPr>
        <w:numId w:val="11"/>
      </w:numPr>
    </w:pPr>
  </w:style>
  <w:style w:type="numbering" w:customStyle="1" w:styleId="LFO3">
    <w:name w:val="LFO3"/>
    <w:basedOn w:val="NoList"/>
    <w:pPr>
      <w:numPr>
        <w:numId w:val="12"/>
      </w:numPr>
    </w:pPr>
  </w:style>
  <w:style w:type="numbering" w:customStyle="1" w:styleId="LFO4">
    <w:name w:val="LFO4"/>
    <w:basedOn w:val="NoList"/>
    <w:pPr>
      <w:numPr>
        <w:numId w:val="13"/>
      </w:numPr>
    </w:pPr>
  </w:style>
  <w:style w:type="numbering" w:customStyle="1" w:styleId="LFO6">
    <w:name w:val="LFO6"/>
    <w:basedOn w:val="NoList"/>
    <w:pPr>
      <w:numPr>
        <w:numId w:val="14"/>
      </w:numPr>
    </w:pPr>
  </w:style>
  <w:style w:type="numbering" w:customStyle="1" w:styleId="LFO9">
    <w:name w:val="LFO9"/>
    <w:basedOn w:val="NoList"/>
    <w:pPr>
      <w:numPr>
        <w:numId w:val="15"/>
      </w:numPr>
    </w:pPr>
  </w:style>
  <w:style w:type="numbering" w:customStyle="1" w:styleId="LFO10">
    <w:name w:val="LFO10"/>
    <w:basedOn w:val="NoList"/>
    <w:pPr>
      <w:numPr>
        <w:numId w:val="16"/>
      </w:numPr>
    </w:pPr>
  </w:style>
  <w:style w:type="numbering" w:customStyle="1" w:styleId="LFO25">
    <w:name w:val="LFO25"/>
    <w:basedOn w:val="NoList"/>
    <w:pPr>
      <w:numPr>
        <w:numId w:val="17"/>
      </w:numPr>
    </w:pPr>
  </w:style>
  <w:style w:type="numbering" w:customStyle="1" w:styleId="LFO28">
    <w:name w:val="LFO28"/>
    <w:basedOn w:val="NoList"/>
    <w:pPr>
      <w:numPr>
        <w:numId w:val="18"/>
      </w:numPr>
    </w:pPr>
  </w:style>
  <w:style w:type="numbering" w:customStyle="1" w:styleId="LFO30">
    <w:name w:val="LFO30"/>
    <w:basedOn w:val="NoList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D847E-F5DF-42C0-8223-124483AA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9B1E1F66</Template>
  <TotalTime>1</TotalTime>
  <Pages>8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external document template</vt:lpstr>
    </vt:vector>
  </TitlesOfParts>
  <Company/>
  <LinksUpToDate>false</LinksUpToDate>
  <CharactersWithSpaces>12992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external document template</dc:title>
  <dc:subject/>
  <dc:creator>Publishing.TEAM@education.gsi.gov.uk</dc:creator>
  <dc:description/>
  <cp:lastModifiedBy>Graham Russell</cp:lastModifiedBy>
  <cp:revision>2</cp:revision>
  <cp:lastPrinted>2020-02-13T19:09:00Z</cp:lastPrinted>
  <dcterms:created xsi:type="dcterms:W3CDTF">2020-02-25T12:18:00Z</dcterms:created>
  <dcterms:modified xsi:type="dcterms:W3CDTF">2020-02-25T12:18:00Z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0x010100AC2E48F3E0389843B40F6CE8D98855D7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</Properties>
</file>