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D234" w14:textId="371D463E" w:rsidR="007B737F" w:rsidRPr="00A72C8B" w:rsidRDefault="002F7D3B" w:rsidP="002F7D3B">
      <w:pPr>
        <w:pStyle w:val="Heading1"/>
        <w:rPr>
          <w:color w:val="000000" w:themeColor="text1"/>
        </w:rPr>
      </w:pPr>
      <w:r w:rsidRPr="00A72C8B">
        <w:rPr>
          <w:color w:val="000000" w:themeColor="text1"/>
        </w:rPr>
        <w:t xml:space="preserve">Privacy notice – alternative provision </w:t>
      </w:r>
    </w:p>
    <w:p w14:paraId="791C9090" w14:textId="77777777" w:rsidR="002F7D3B" w:rsidRPr="00A72C8B" w:rsidRDefault="002F7D3B" w:rsidP="002F7D3B">
      <w:pPr>
        <w:rPr>
          <w:color w:val="000000" w:themeColor="text1"/>
          <w:sz w:val="12"/>
          <w:szCs w:val="12"/>
        </w:rPr>
      </w:pPr>
    </w:p>
    <w:p w14:paraId="273A0B75" w14:textId="213CE7A3" w:rsidR="002F7D3B" w:rsidRPr="00A72C8B" w:rsidRDefault="002F7D3B" w:rsidP="002F7D3B">
      <w:pPr>
        <w:pStyle w:val="Heading2"/>
        <w:rPr>
          <w:color w:val="000000" w:themeColor="text1"/>
        </w:rPr>
      </w:pPr>
      <w:r w:rsidRPr="00A72C8B">
        <w:rPr>
          <w:color w:val="000000" w:themeColor="text1"/>
        </w:rPr>
        <w:t xml:space="preserve">Introduction </w:t>
      </w:r>
    </w:p>
    <w:p w14:paraId="388F265E" w14:textId="76B659AA" w:rsidR="002F7D3B" w:rsidRPr="00A72C8B" w:rsidRDefault="002F7D3B" w:rsidP="002F7D3B">
      <w:pPr>
        <w:rPr>
          <w:color w:val="000000" w:themeColor="text1"/>
          <w:sz w:val="22"/>
          <w:szCs w:val="20"/>
        </w:rPr>
      </w:pPr>
      <w:r w:rsidRPr="00A72C8B">
        <w:rPr>
          <w:color w:val="000000" w:themeColor="text1"/>
          <w:sz w:val="22"/>
          <w:szCs w:val="20"/>
        </w:rPr>
        <w:t xml:space="preserve">The personal data we process is required to enable external providers of alternative provision to provide the necessary support and service to the young person. Personal and sensitive data will be shared with the external providers in order for the appropriate service to be delivered based on the individual’s needs. The data may also be shared with other agencies, organisations or people as set out in the below privacy notice. </w:t>
      </w:r>
    </w:p>
    <w:p w14:paraId="4C9AB7CF" w14:textId="77777777" w:rsidR="002F7D3B" w:rsidRPr="00A72C8B" w:rsidRDefault="002F7D3B" w:rsidP="002F7D3B">
      <w:pPr>
        <w:rPr>
          <w:color w:val="000000" w:themeColor="text1"/>
          <w:sz w:val="12"/>
          <w:szCs w:val="12"/>
        </w:rPr>
      </w:pPr>
    </w:p>
    <w:p w14:paraId="0DAF3B98" w14:textId="18E5C3CF" w:rsidR="002F7D3B" w:rsidRPr="00A72C8B" w:rsidRDefault="002F7D3B" w:rsidP="002F7D3B">
      <w:pPr>
        <w:pStyle w:val="Heading2"/>
        <w:rPr>
          <w:color w:val="000000" w:themeColor="text1"/>
        </w:rPr>
      </w:pPr>
      <w:r w:rsidRPr="00A72C8B">
        <w:rPr>
          <w:color w:val="000000" w:themeColor="text1"/>
        </w:rPr>
        <w:t>Personal data we may share</w:t>
      </w:r>
    </w:p>
    <w:p w14:paraId="5BA943AD" w14:textId="3B8ABEE7" w:rsidR="002F7D3B" w:rsidRPr="00A72C8B" w:rsidRDefault="002F7D3B" w:rsidP="002F7D3B">
      <w:pPr>
        <w:rPr>
          <w:color w:val="000000" w:themeColor="text1"/>
          <w:sz w:val="22"/>
          <w:szCs w:val="20"/>
        </w:rPr>
      </w:pPr>
      <w:r w:rsidRPr="00A72C8B">
        <w:rPr>
          <w:color w:val="000000" w:themeColor="text1"/>
          <w:sz w:val="22"/>
          <w:szCs w:val="20"/>
        </w:rPr>
        <w:t>Data already held within the school systems will be shared with alternative provision providers on a case-by-case basis depending on the needs of the individual pupil, services to be delivered and support that is necessary.</w:t>
      </w:r>
    </w:p>
    <w:p w14:paraId="544267D9" w14:textId="77777777" w:rsidR="002F7D3B" w:rsidRPr="00A72C8B" w:rsidRDefault="002F7D3B" w:rsidP="002F7D3B">
      <w:pPr>
        <w:rPr>
          <w:color w:val="000000" w:themeColor="text1"/>
          <w:sz w:val="22"/>
          <w:szCs w:val="20"/>
        </w:rPr>
      </w:pPr>
      <w:r w:rsidRPr="00A72C8B">
        <w:rPr>
          <w:color w:val="000000" w:themeColor="text1"/>
          <w:sz w:val="22"/>
          <w:szCs w:val="20"/>
        </w:rPr>
        <w:t>Personal data that we may share about pupils and their families and carers includes,</w:t>
      </w:r>
      <w:r w:rsidRPr="00A72C8B">
        <w:rPr>
          <w:color w:val="000000" w:themeColor="text1"/>
          <w:spacing w:val="-47"/>
          <w:sz w:val="22"/>
          <w:szCs w:val="20"/>
        </w:rPr>
        <w:t xml:space="preserve"> </w:t>
      </w:r>
      <w:r w:rsidRPr="00A72C8B">
        <w:rPr>
          <w:color w:val="000000" w:themeColor="text1"/>
          <w:sz w:val="22"/>
          <w:szCs w:val="20"/>
        </w:rPr>
        <w:t>but is not</w:t>
      </w:r>
      <w:r w:rsidRPr="00A72C8B">
        <w:rPr>
          <w:color w:val="000000" w:themeColor="text1"/>
          <w:spacing w:val="-2"/>
          <w:sz w:val="22"/>
          <w:szCs w:val="20"/>
        </w:rPr>
        <w:t xml:space="preserve"> </w:t>
      </w:r>
      <w:r w:rsidRPr="00A72C8B">
        <w:rPr>
          <w:color w:val="000000" w:themeColor="text1"/>
          <w:sz w:val="22"/>
          <w:szCs w:val="20"/>
        </w:rPr>
        <w:t>restricted</w:t>
      </w:r>
      <w:r w:rsidRPr="00A72C8B">
        <w:rPr>
          <w:color w:val="000000" w:themeColor="text1"/>
          <w:spacing w:val="-4"/>
          <w:sz w:val="22"/>
          <w:szCs w:val="20"/>
        </w:rPr>
        <w:t xml:space="preserve"> </w:t>
      </w:r>
      <w:r w:rsidRPr="00A72C8B">
        <w:rPr>
          <w:color w:val="000000" w:themeColor="text1"/>
          <w:sz w:val="22"/>
          <w:szCs w:val="20"/>
        </w:rPr>
        <w:t>to:</w:t>
      </w:r>
    </w:p>
    <w:p w14:paraId="2D892F48" w14:textId="263CACFB"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contact</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details,</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contact</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preferences, date</w:t>
      </w:r>
      <w:r w:rsidRPr="00A72C8B">
        <w:rPr>
          <w:rFonts w:ascii="Microsoft GothicNeo" w:eastAsia="Microsoft GothicNeo" w:hAnsi="Microsoft GothicNeo" w:cs="Microsoft GothicNeo"/>
          <w:color w:val="000000" w:themeColor="text1"/>
          <w:spacing w:val="-4"/>
        </w:rPr>
        <w:t xml:space="preserve"> </w:t>
      </w:r>
      <w:r w:rsidRPr="00A72C8B">
        <w:rPr>
          <w:rFonts w:ascii="Microsoft GothicNeo" w:eastAsia="Microsoft GothicNeo" w:hAnsi="Microsoft GothicNeo" w:cs="Microsoft GothicNeo"/>
          <w:color w:val="000000" w:themeColor="text1"/>
        </w:rPr>
        <w:t>of</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birth,</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identification</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documents</w:t>
      </w:r>
    </w:p>
    <w:p w14:paraId="02E7A2EB" w14:textId="1BDA7F51"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results</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of</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internal</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assessments</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and</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externally</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set</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tests</w:t>
      </w:r>
    </w:p>
    <w:p w14:paraId="0B61C8F9" w14:textId="12021354"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pupil</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and</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curricular records</w:t>
      </w:r>
    </w:p>
    <w:p w14:paraId="4167A365" w14:textId="0D323E43"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characteristics, such as ethnic background, eligibility for free school meals, or special</w:t>
      </w:r>
      <w:r w:rsidRPr="00A72C8B">
        <w:rPr>
          <w:rFonts w:ascii="Microsoft GothicNeo" w:eastAsia="Microsoft GothicNeo" w:hAnsi="Microsoft GothicNeo" w:cs="Microsoft GothicNeo"/>
          <w:color w:val="000000" w:themeColor="text1"/>
          <w:spacing w:val="-47"/>
        </w:rPr>
        <w:t xml:space="preserve"> </w:t>
      </w:r>
      <w:r w:rsidRPr="00A72C8B">
        <w:rPr>
          <w:rFonts w:ascii="Microsoft GothicNeo" w:eastAsia="Microsoft GothicNeo" w:hAnsi="Microsoft GothicNeo" w:cs="Microsoft GothicNeo"/>
          <w:color w:val="000000" w:themeColor="text1"/>
        </w:rPr>
        <w:t>educational needs</w:t>
      </w:r>
    </w:p>
    <w:p w14:paraId="3FF4273C" w14:textId="0B2DDE26"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exclusion</w:t>
      </w:r>
      <w:r w:rsidRPr="00A72C8B">
        <w:rPr>
          <w:rFonts w:ascii="Microsoft GothicNeo" w:eastAsia="Microsoft GothicNeo" w:hAnsi="Microsoft GothicNeo" w:cs="Microsoft GothicNeo"/>
          <w:color w:val="000000" w:themeColor="text1"/>
          <w:spacing w:val="-4"/>
        </w:rPr>
        <w:t xml:space="preserve"> and behaviour </w:t>
      </w:r>
      <w:r w:rsidRPr="00A72C8B">
        <w:rPr>
          <w:rFonts w:ascii="Microsoft GothicNeo" w:eastAsia="Microsoft GothicNeo" w:hAnsi="Microsoft GothicNeo" w:cs="Microsoft GothicNeo"/>
          <w:color w:val="000000" w:themeColor="text1"/>
        </w:rPr>
        <w:t>information</w:t>
      </w:r>
    </w:p>
    <w:p w14:paraId="1491F347" w14:textId="73B8C34A"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details</w:t>
      </w:r>
      <w:r w:rsidRPr="00A72C8B">
        <w:rPr>
          <w:rFonts w:ascii="Microsoft GothicNeo" w:eastAsia="Microsoft GothicNeo" w:hAnsi="Microsoft GothicNeo" w:cs="Microsoft GothicNeo"/>
          <w:color w:val="000000" w:themeColor="text1"/>
          <w:spacing w:val="-4"/>
        </w:rPr>
        <w:t xml:space="preserve"> </w:t>
      </w:r>
      <w:r w:rsidRPr="00A72C8B">
        <w:rPr>
          <w:rFonts w:ascii="Microsoft GothicNeo" w:eastAsia="Microsoft GothicNeo" w:hAnsi="Microsoft GothicNeo" w:cs="Microsoft GothicNeo"/>
          <w:color w:val="000000" w:themeColor="text1"/>
        </w:rPr>
        <w:t>of</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any</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medical conditions,</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including</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physical</w:t>
      </w:r>
      <w:r w:rsidRPr="00A72C8B">
        <w:rPr>
          <w:rFonts w:ascii="Microsoft GothicNeo" w:eastAsia="Microsoft GothicNeo" w:hAnsi="Microsoft GothicNeo" w:cs="Microsoft GothicNeo"/>
          <w:color w:val="000000" w:themeColor="text1"/>
          <w:spacing w:val="-4"/>
        </w:rPr>
        <w:t xml:space="preserve"> </w:t>
      </w:r>
      <w:r w:rsidRPr="00A72C8B">
        <w:rPr>
          <w:rFonts w:ascii="Microsoft GothicNeo" w:eastAsia="Microsoft GothicNeo" w:hAnsi="Microsoft GothicNeo" w:cs="Microsoft GothicNeo"/>
          <w:color w:val="000000" w:themeColor="text1"/>
        </w:rPr>
        <w:t>and</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mental</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health</w:t>
      </w:r>
    </w:p>
    <w:p w14:paraId="3E2EB366" w14:textId="4406B8FC"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attendance information</w:t>
      </w:r>
    </w:p>
    <w:p w14:paraId="20A52A45" w14:textId="27894187"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safeguarding</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information</w:t>
      </w:r>
    </w:p>
    <w:p w14:paraId="7B536737" w14:textId="38A219B0"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details</w:t>
      </w:r>
      <w:r w:rsidRPr="00A72C8B">
        <w:rPr>
          <w:rFonts w:ascii="Microsoft GothicNeo" w:eastAsia="Microsoft GothicNeo" w:hAnsi="Microsoft GothicNeo" w:cs="Microsoft GothicNeo"/>
          <w:color w:val="000000" w:themeColor="text1"/>
          <w:spacing w:val="-5"/>
        </w:rPr>
        <w:t xml:space="preserve"> </w:t>
      </w:r>
      <w:r w:rsidRPr="00A72C8B">
        <w:rPr>
          <w:rFonts w:ascii="Microsoft GothicNeo" w:eastAsia="Microsoft GothicNeo" w:hAnsi="Microsoft GothicNeo" w:cs="Microsoft GothicNeo"/>
          <w:color w:val="000000" w:themeColor="text1"/>
        </w:rPr>
        <w:t>of</w:t>
      </w:r>
      <w:r w:rsidRPr="00A72C8B">
        <w:rPr>
          <w:rFonts w:ascii="Microsoft GothicNeo" w:eastAsia="Microsoft GothicNeo" w:hAnsi="Microsoft GothicNeo" w:cs="Microsoft GothicNeo"/>
          <w:color w:val="000000" w:themeColor="text1"/>
          <w:spacing w:val="-4"/>
        </w:rPr>
        <w:t xml:space="preserve"> </w:t>
      </w:r>
      <w:r w:rsidRPr="00A72C8B">
        <w:rPr>
          <w:rFonts w:ascii="Microsoft GothicNeo" w:eastAsia="Microsoft GothicNeo" w:hAnsi="Microsoft GothicNeo" w:cs="Microsoft GothicNeo"/>
          <w:color w:val="000000" w:themeColor="text1"/>
        </w:rPr>
        <w:t>any</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support</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received,</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including</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care packages,</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plans</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and</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support</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providers</w:t>
      </w:r>
    </w:p>
    <w:p w14:paraId="49AB9421" w14:textId="1336B584" w:rsidR="002F7D3B" w:rsidRPr="00A72C8B" w:rsidRDefault="002F7D3B" w:rsidP="002F7D3B">
      <w:pPr>
        <w:pStyle w:val="ListParagraph"/>
        <w:numPr>
          <w:ilvl w:val="0"/>
          <w:numId w:val="2"/>
        </w:numPr>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photographs</w:t>
      </w:r>
    </w:p>
    <w:p w14:paraId="324F0A1F" w14:textId="13122D26" w:rsidR="002F7D3B" w:rsidRPr="00A72C8B" w:rsidRDefault="002F7D3B" w:rsidP="002F7D3B">
      <w:pPr>
        <w:pStyle w:val="ListParagraph"/>
        <w:numPr>
          <w:ilvl w:val="0"/>
          <w:numId w:val="2"/>
        </w:numPr>
        <w:ind w:left="76"/>
        <w:rPr>
          <w:rFonts w:eastAsia="Microsoft GothicNeo" w:cs="Microsoft GothicNeo"/>
          <w:color w:val="000000" w:themeColor="text1"/>
          <w:sz w:val="12"/>
          <w:szCs w:val="12"/>
        </w:rPr>
      </w:pPr>
      <w:r w:rsidRPr="00A72C8B">
        <w:rPr>
          <w:rFonts w:ascii="Microsoft GothicNeo" w:eastAsia="Microsoft GothicNeo" w:hAnsi="Microsoft GothicNeo" w:cs="Microsoft GothicNeo"/>
          <w:color w:val="000000" w:themeColor="text1"/>
        </w:rPr>
        <w:t>CCTV</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images</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captured</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in</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szCs w:val="20"/>
        </w:rPr>
        <w:t>school</w:t>
      </w:r>
    </w:p>
    <w:p w14:paraId="1D694EC7" w14:textId="442B4BD2" w:rsidR="002F7D3B" w:rsidRPr="00A72C8B" w:rsidRDefault="002F7D3B" w:rsidP="002F7D3B">
      <w:pPr>
        <w:pStyle w:val="Heading2"/>
        <w:rPr>
          <w:color w:val="000000" w:themeColor="text1"/>
        </w:rPr>
      </w:pPr>
      <w:r w:rsidRPr="00A72C8B">
        <w:rPr>
          <w:color w:val="000000" w:themeColor="text1"/>
        </w:rPr>
        <w:t xml:space="preserve">Purpose of sharing the data </w:t>
      </w:r>
    </w:p>
    <w:p w14:paraId="4C089F4A" w14:textId="561DFD49" w:rsidR="002F7D3B" w:rsidRPr="00A72C8B" w:rsidRDefault="002F7D3B" w:rsidP="002F7D3B">
      <w:pPr>
        <w:rPr>
          <w:color w:val="000000" w:themeColor="text1"/>
          <w:sz w:val="22"/>
          <w:szCs w:val="20"/>
        </w:rPr>
      </w:pPr>
      <w:r w:rsidRPr="00A72C8B">
        <w:rPr>
          <w:color w:val="000000" w:themeColor="text1"/>
          <w:sz w:val="22"/>
          <w:szCs w:val="20"/>
        </w:rPr>
        <w:t>We may share the data with alternative provision providers in order to:</w:t>
      </w:r>
    </w:p>
    <w:p w14:paraId="578AAFB0" w14:textId="1DFED07A"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 xml:space="preserve">support pupil learning </w:t>
      </w:r>
    </w:p>
    <w:p w14:paraId="5390AAF7" w14:textId="590464B4"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monitor and report on pupil progress</w:t>
      </w:r>
    </w:p>
    <w:p w14:paraId="18984428" w14:textId="590E760D"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lastRenderedPageBreak/>
        <w:t>provide appropriate pastoral care</w:t>
      </w:r>
    </w:p>
    <w:p w14:paraId="1AD3A70B" w14:textId="028F1F55"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protect pupil welfare</w:t>
      </w:r>
    </w:p>
    <w:p w14:paraId="1C7A3D5C" w14:textId="36ECFA0E"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manage safeguarding concerns</w:t>
      </w:r>
    </w:p>
    <w:p w14:paraId="3C41C706" w14:textId="64DB02C3"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develop strategies to improve pupil well-being and mental health</w:t>
      </w:r>
    </w:p>
    <w:p w14:paraId="4105D0CD" w14:textId="7483769C"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encourage positive change and self-development</w:t>
      </w:r>
    </w:p>
    <w:p w14:paraId="6B809E6B" w14:textId="077901B6"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comply with law regarding data sharing</w:t>
      </w:r>
    </w:p>
    <w:p w14:paraId="48436714" w14:textId="1557A3CA" w:rsidR="002F7D3B" w:rsidRPr="00A72C8B" w:rsidRDefault="002F7D3B" w:rsidP="002F7D3B">
      <w:pPr>
        <w:pStyle w:val="ListParagraph"/>
        <w:numPr>
          <w:ilvl w:val="0"/>
          <w:numId w:val="3"/>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 xml:space="preserve">complete statistical returns to the government departments for education </w:t>
      </w:r>
    </w:p>
    <w:p w14:paraId="5E333B52" w14:textId="77777777" w:rsidR="002F7D3B" w:rsidRPr="00A72C8B" w:rsidRDefault="002F7D3B" w:rsidP="002F7D3B">
      <w:pPr>
        <w:pStyle w:val="ListParagraph"/>
        <w:ind w:left="436" w:firstLine="0"/>
        <w:rPr>
          <w:rFonts w:ascii="Microsoft GothicNeo" w:eastAsia="Microsoft GothicNeo" w:hAnsi="Microsoft GothicNeo" w:cs="Microsoft GothicNeo"/>
          <w:color w:val="000000" w:themeColor="text1"/>
          <w:sz w:val="12"/>
          <w:szCs w:val="12"/>
        </w:rPr>
      </w:pPr>
    </w:p>
    <w:p w14:paraId="23DF2E5E" w14:textId="2884D262" w:rsidR="002F7D3B" w:rsidRPr="00A72C8B" w:rsidRDefault="002F7D3B" w:rsidP="002F7D3B">
      <w:pPr>
        <w:pStyle w:val="Heading2"/>
        <w:rPr>
          <w:color w:val="000000" w:themeColor="text1"/>
        </w:rPr>
      </w:pPr>
      <w:r w:rsidRPr="00A72C8B">
        <w:rPr>
          <w:color w:val="000000" w:themeColor="text1"/>
        </w:rPr>
        <w:t>Legal basis for sharing this data</w:t>
      </w:r>
    </w:p>
    <w:p w14:paraId="0A87C32F" w14:textId="4E192231" w:rsidR="002F7D3B" w:rsidRPr="00A72C8B" w:rsidRDefault="00960FE3" w:rsidP="002F7D3B">
      <w:pPr>
        <w:rPr>
          <w:color w:val="000000" w:themeColor="text1"/>
          <w:sz w:val="22"/>
          <w:szCs w:val="20"/>
        </w:rPr>
      </w:pPr>
      <w:r w:rsidRPr="00A72C8B">
        <w:rPr>
          <w:color w:val="000000" w:themeColor="text1"/>
          <w:sz w:val="22"/>
          <w:szCs w:val="20"/>
        </w:rPr>
        <w:t>We only collect and use pupil’s personal data when the law allows us to. Most commonly, we process it where the processing is necessary for us to:</w:t>
      </w:r>
    </w:p>
    <w:p w14:paraId="354195C2" w14:textId="6002B091" w:rsidR="00960FE3" w:rsidRPr="00A72C8B" w:rsidRDefault="00960FE3" w:rsidP="00960FE3">
      <w:pPr>
        <w:pStyle w:val="ListParagraph"/>
        <w:numPr>
          <w:ilvl w:val="0"/>
          <w:numId w:val="4"/>
        </w:numPr>
        <w:rPr>
          <w:color w:val="000000" w:themeColor="text1"/>
          <w:szCs w:val="20"/>
        </w:rPr>
      </w:pPr>
      <w:r w:rsidRPr="00A72C8B">
        <w:rPr>
          <w:rFonts w:ascii="Microsoft GothicNeo" w:eastAsia="Microsoft GothicNeo" w:hAnsi="Microsoft GothicNeo" w:cs="Microsoft GothicNeo"/>
          <w:color w:val="000000" w:themeColor="text1"/>
          <w:szCs w:val="20"/>
        </w:rPr>
        <w:t>comply with Section 537A of the Education Act 1996 (school census)</w:t>
      </w:r>
    </w:p>
    <w:p w14:paraId="5A0A8233" w14:textId="77777777" w:rsidR="00960FE3" w:rsidRPr="00A72C8B" w:rsidRDefault="00960FE3" w:rsidP="00960FE3">
      <w:pPr>
        <w:pStyle w:val="ListParagraph"/>
        <w:numPr>
          <w:ilvl w:val="0"/>
          <w:numId w:val="4"/>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 xml:space="preserve">perform tasks subject to a legal obligation and/or in the public interest </w:t>
      </w:r>
    </w:p>
    <w:p w14:paraId="5A889B28" w14:textId="55EDA7F0" w:rsidR="00960FE3" w:rsidRPr="00A72C8B" w:rsidRDefault="00960FE3" w:rsidP="00960FE3">
      <w:pPr>
        <w:rPr>
          <w:color w:val="000000" w:themeColor="text1"/>
          <w:sz w:val="22"/>
          <w:szCs w:val="20"/>
        </w:rPr>
      </w:pPr>
      <w:r w:rsidRPr="00A72C8B">
        <w:rPr>
          <w:color w:val="000000" w:themeColor="text1"/>
          <w:sz w:val="22"/>
          <w:szCs w:val="20"/>
        </w:rPr>
        <w:t>Less commonly, we may process pupil’s personal data is situations where:</w:t>
      </w:r>
    </w:p>
    <w:p w14:paraId="195072F6" w14:textId="73291F7E" w:rsidR="00960FE3" w:rsidRPr="00A72C8B" w:rsidRDefault="00960FE3" w:rsidP="00960FE3">
      <w:pPr>
        <w:pStyle w:val="ListParagraph"/>
        <w:numPr>
          <w:ilvl w:val="0"/>
          <w:numId w:val="4"/>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the individual has given clear consent for processing their personal data for a specific purpose</w:t>
      </w:r>
    </w:p>
    <w:p w14:paraId="0BAA1E89" w14:textId="516A1BF1" w:rsidR="00960FE3" w:rsidRPr="00A72C8B" w:rsidRDefault="00960FE3" w:rsidP="00960FE3">
      <w:pPr>
        <w:pStyle w:val="ListParagraph"/>
        <w:numPr>
          <w:ilvl w:val="0"/>
          <w:numId w:val="4"/>
        </w:numPr>
        <w:rPr>
          <w:rFonts w:ascii="Microsoft GothicNeo" w:eastAsia="Microsoft GothicNeo" w:hAnsi="Microsoft GothicNeo" w:cs="Microsoft GothicNeo"/>
          <w:color w:val="000000" w:themeColor="text1"/>
          <w:szCs w:val="20"/>
        </w:rPr>
      </w:pPr>
      <w:r w:rsidRPr="00A72C8B">
        <w:rPr>
          <w:rFonts w:ascii="Microsoft GothicNeo" w:eastAsia="Microsoft GothicNeo" w:hAnsi="Microsoft GothicNeo" w:cs="Microsoft GothicNeo"/>
          <w:color w:val="000000" w:themeColor="text1"/>
          <w:szCs w:val="20"/>
        </w:rPr>
        <w:t>to protect the individual’s vital interests or the interests of someone else</w:t>
      </w:r>
    </w:p>
    <w:p w14:paraId="6EBEBFA5" w14:textId="27568C4E" w:rsidR="00960FE3" w:rsidRPr="00A72C8B" w:rsidRDefault="00960FE3" w:rsidP="00960FE3">
      <w:pPr>
        <w:rPr>
          <w:color w:val="000000" w:themeColor="text1"/>
          <w:sz w:val="22"/>
          <w:szCs w:val="20"/>
        </w:rPr>
      </w:pPr>
      <w:r w:rsidRPr="00A72C8B">
        <w:rPr>
          <w:color w:val="000000" w:themeColor="text1"/>
          <w:sz w:val="22"/>
          <w:szCs w:val="20"/>
        </w:rPr>
        <w:t>Some of the reasons listed above for collecting and using pupils’ personal data overlap, and there may be several grounds which enable us to lawfully process this data.</w:t>
      </w:r>
    </w:p>
    <w:p w14:paraId="61C0A8EC" w14:textId="38BC67B7" w:rsidR="002F7D3B" w:rsidRPr="00A72C8B" w:rsidRDefault="00960FE3" w:rsidP="00960FE3">
      <w:pPr>
        <w:rPr>
          <w:color w:val="000000" w:themeColor="text1"/>
          <w:sz w:val="22"/>
          <w:szCs w:val="20"/>
        </w:rPr>
      </w:pPr>
      <w:r w:rsidRPr="00A72C8B">
        <w:rPr>
          <w:color w:val="000000" w:themeColor="text1"/>
          <w:sz w:val="22"/>
          <w:szCs w:val="20"/>
        </w:rPr>
        <w:t>If consent has been sought and provided by an individual pupil, this can be withdrawn at any time. Please see our data protection policy for more information on how this can be done.</w:t>
      </w:r>
    </w:p>
    <w:p w14:paraId="2EE3A81B" w14:textId="77777777" w:rsidR="00960FE3" w:rsidRPr="00A72C8B" w:rsidRDefault="00960FE3" w:rsidP="00960FE3">
      <w:pPr>
        <w:rPr>
          <w:color w:val="000000" w:themeColor="text1"/>
          <w:sz w:val="12"/>
          <w:szCs w:val="12"/>
        </w:rPr>
      </w:pPr>
    </w:p>
    <w:p w14:paraId="506E24B0" w14:textId="649C5266" w:rsidR="00960FE3" w:rsidRPr="00A72C8B" w:rsidRDefault="00960FE3" w:rsidP="00960FE3">
      <w:pPr>
        <w:pStyle w:val="Heading2"/>
        <w:rPr>
          <w:color w:val="000000" w:themeColor="text1"/>
        </w:rPr>
      </w:pPr>
      <w:r w:rsidRPr="00A72C8B">
        <w:rPr>
          <w:color w:val="000000" w:themeColor="text1"/>
        </w:rPr>
        <w:t>Collecting this information</w:t>
      </w:r>
    </w:p>
    <w:p w14:paraId="67860435" w14:textId="23DBF3DC" w:rsidR="00960FE3" w:rsidRPr="00A72C8B" w:rsidRDefault="00960FE3" w:rsidP="00960FE3">
      <w:pPr>
        <w:rPr>
          <w:color w:val="000000" w:themeColor="text1"/>
          <w:sz w:val="22"/>
          <w:szCs w:val="20"/>
        </w:rPr>
      </w:pPr>
      <w:r w:rsidRPr="00A72C8B">
        <w:rPr>
          <w:color w:val="000000" w:themeColor="text1"/>
          <w:sz w:val="22"/>
          <w:szCs w:val="20"/>
        </w:rPr>
        <w:t xml:space="preserve">While the majority of data we collect about pupils is mandatory, there is some </w:t>
      </w:r>
      <w:proofErr w:type="gramStart"/>
      <w:r w:rsidRPr="00A72C8B">
        <w:rPr>
          <w:color w:val="000000" w:themeColor="text1"/>
          <w:sz w:val="22"/>
          <w:szCs w:val="20"/>
        </w:rPr>
        <w:t xml:space="preserve">data </w:t>
      </w:r>
      <w:r w:rsidRPr="00A72C8B">
        <w:rPr>
          <w:color w:val="000000" w:themeColor="text1"/>
          <w:spacing w:val="-47"/>
          <w:sz w:val="22"/>
          <w:szCs w:val="20"/>
        </w:rPr>
        <w:t xml:space="preserve"> </w:t>
      </w:r>
      <w:r w:rsidRPr="00A72C8B">
        <w:rPr>
          <w:color w:val="000000" w:themeColor="text1"/>
          <w:sz w:val="22"/>
          <w:szCs w:val="20"/>
        </w:rPr>
        <w:t>that</w:t>
      </w:r>
      <w:proofErr w:type="gramEnd"/>
      <w:r w:rsidRPr="00A72C8B">
        <w:rPr>
          <w:color w:val="000000" w:themeColor="text1"/>
          <w:sz w:val="22"/>
          <w:szCs w:val="20"/>
        </w:rPr>
        <w:t xml:space="preserve"> can</w:t>
      </w:r>
      <w:r w:rsidRPr="00A72C8B">
        <w:rPr>
          <w:color w:val="000000" w:themeColor="text1"/>
          <w:spacing w:val="-2"/>
          <w:sz w:val="22"/>
          <w:szCs w:val="20"/>
        </w:rPr>
        <w:t xml:space="preserve"> </w:t>
      </w:r>
      <w:r w:rsidRPr="00A72C8B">
        <w:rPr>
          <w:color w:val="000000" w:themeColor="text1"/>
          <w:sz w:val="22"/>
          <w:szCs w:val="20"/>
        </w:rPr>
        <w:t>be</w:t>
      </w:r>
      <w:r w:rsidRPr="00A72C8B">
        <w:rPr>
          <w:color w:val="000000" w:themeColor="text1"/>
          <w:spacing w:val="-3"/>
          <w:sz w:val="22"/>
          <w:szCs w:val="20"/>
        </w:rPr>
        <w:t xml:space="preserve"> </w:t>
      </w:r>
      <w:r w:rsidRPr="00A72C8B">
        <w:rPr>
          <w:color w:val="000000" w:themeColor="text1"/>
          <w:sz w:val="22"/>
          <w:szCs w:val="20"/>
        </w:rPr>
        <w:t>provided</w:t>
      </w:r>
      <w:r w:rsidRPr="00A72C8B">
        <w:rPr>
          <w:color w:val="000000" w:themeColor="text1"/>
          <w:spacing w:val="-2"/>
          <w:sz w:val="22"/>
          <w:szCs w:val="20"/>
        </w:rPr>
        <w:t xml:space="preserve"> </w:t>
      </w:r>
      <w:r w:rsidRPr="00A72C8B">
        <w:rPr>
          <w:color w:val="000000" w:themeColor="text1"/>
          <w:sz w:val="22"/>
          <w:szCs w:val="20"/>
        </w:rPr>
        <w:t>voluntarily.</w:t>
      </w:r>
    </w:p>
    <w:p w14:paraId="1B5C46AA" w14:textId="47CB6071" w:rsidR="00960FE3" w:rsidRPr="00A72C8B" w:rsidRDefault="00960FE3" w:rsidP="00960FE3">
      <w:pPr>
        <w:rPr>
          <w:color w:val="000000" w:themeColor="text1"/>
          <w:sz w:val="22"/>
          <w:szCs w:val="20"/>
        </w:rPr>
      </w:pPr>
      <w:r w:rsidRPr="00A72C8B">
        <w:rPr>
          <w:color w:val="000000" w:themeColor="text1"/>
          <w:sz w:val="22"/>
          <w:szCs w:val="20"/>
        </w:rPr>
        <w:t xml:space="preserve">Whenever we seek to collect information from you or your child, we make it clear whether providing </w:t>
      </w:r>
      <w:r w:rsidRPr="00A72C8B">
        <w:rPr>
          <w:color w:val="000000" w:themeColor="text1"/>
          <w:spacing w:val="-47"/>
          <w:sz w:val="22"/>
          <w:szCs w:val="20"/>
        </w:rPr>
        <w:t xml:space="preserve"> </w:t>
      </w:r>
      <w:r w:rsidRPr="00A72C8B">
        <w:rPr>
          <w:color w:val="000000" w:themeColor="text1"/>
          <w:sz w:val="22"/>
          <w:szCs w:val="20"/>
        </w:rPr>
        <w:t>it is mandatory or optional. If it is mandatory, we will explain the possible consequences of not</w:t>
      </w:r>
      <w:r w:rsidRPr="00A72C8B">
        <w:rPr>
          <w:color w:val="000000" w:themeColor="text1"/>
          <w:spacing w:val="1"/>
          <w:sz w:val="22"/>
          <w:szCs w:val="20"/>
        </w:rPr>
        <w:t xml:space="preserve"> </w:t>
      </w:r>
      <w:r w:rsidRPr="00A72C8B">
        <w:rPr>
          <w:color w:val="000000" w:themeColor="text1"/>
          <w:sz w:val="22"/>
          <w:szCs w:val="20"/>
        </w:rPr>
        <w:t>complying.</w:t>
      </w:r>
    </w:p>
    <w:p w14:paraId="603FAE22" w14:textId="77777777" w:rsidR="00960FE3" w:rsidRPr="00A72C8B" w:rsidRDefault="00960FE3" w:rsidP="00960FE3">
      <w:pPr>
        <w:rPr>
          <w:color w:val="000000" w:themeColor="text1"/>
          <w:sz w:val="12"/>
          <w:szCs w:val="12"/>
        </w:rPr>
      </w:pPr>
    </w:p>
    <w:p w14:paraId="5C11FA4E" w14:textId="04DD703D" w:rsidR="00960FE3" w:rsidRPr="00A72C8B" w:rsidRDefault="00960FE3" w:rsidP="00960FE3">
      <w:pPr>
        <w:pStyle w:val="Heading2"/>
        <w:rPr>
          <w:color w:val="000000" w:themeColor="text1"/>
        </w:rPr>
      </w:pPr>
      <w:r w:rsidRPr="00A72C8B">
        <w:rPr>
          <w:color w:val="000000" w:themeColor="text1"/>
        </w:rPr>
        <w:t xml:space="preserve">Data sharing </w:t>
      </w:r>
    </w:p>
    <w:p w14:paraId="0FBBD0AC" w14:textId="75B1CCEA" w:rsidR="00960FE3" w:rsidRPr="00A72C8B" w:rsidRDefault="00960FE3" w:rsidP="00960FE3">
      <w:pPr>
        <w:rPr>
          <w:color w:val="000000" w:themeColor="text1"/>
          <w:sz w:val="22"/>
          <w:szCs w:val="20"/>
        </w:rPr>
      </w:pPr>
      <w:r w:rsidRPr="00A72C8B">
        <w:rPr>
          <w:color w:val="000000" w:themeColor="text1"/>
          <w:sz w:val="22"/>
          <w:szCs w:val="20"/>
        </w:rPr>
        <w:t xml:space="preserve">When commissioning alternative provision for individual people, it is necessary for us to share personal data with that provider. A data sharing agreement is in place, which also sets out </w:t>
      </w:r>
      <w:r w:rsidRPr="00A72C8B">
        <w:rPr>
          <w:color w:val="000000" w:themeColor="text1"/>
          <w:sz w:val="22"/>
          <w:szCs w:val="20"/>
        </w:rPr>
        <w:lastRenderedPageBreak/>
        <w:t>times when that provider may need to share data with us, but also with other third parties and organisations who may include but who are not limited to:</w:t>
      </w:r>
    </w:p>
    <w:p w14:paraId="15D8F2E4" w14:textId="09BD4A60" w:rsidR="00960FE3" w:rsidRPr="00A72C8B" w:rsidRDefault="00960FE3" w:rsidP="00960FE3">
      <w:pPr>
        <w:pStyle w:val="ListParagraph"/>
        <w:numPr>
          <w:ilvl w:val="0"/>
          <w:numId w:val="6"/>
        </w:numPr>
        <w:tabs>
          <w:tab w:val="left" w:pos="1747"/>
        </w:tabs>
        <w:spacing w:before="119"/>
        <w:ind w:right="1259"/>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the local authority (LA)</w:t>
      </w:r>
    </w:p>
    <w:p w14:paraId="3EEAC8AE" w14:textId="4B9CFDBB" w:rsidR="00960FE3" w:rsidRPr="00A72C8B" w:rsidRDefault="00960FE3" w:rsidP="00960FE3">
      <w:pPr>
        <w:pStyle w:val="ListParagraph"/>
        <w:numPr>
          <w:ilvl w:val="0"/>
          <w:numId w:val="6"/>
        </w:numPr>
        <w:tabs>
          <w:tab w:val="left" w:pos="1747"/>
        </w:tabs>
        <w:spacing w:before="79"/>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Department</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for</w:t>
      </w:r>
      <w:r w:rsidRPr="00A72C8B">
        <w:rPr>
          <w:rFonts w:ascii="Microsoft GothicNeo" w:eastAsia="Microsoft GothicNeo" w:hAnsi="Microsoft GothicNeo" w:cs="Microsoft GothicNeo"/>
          <w:color w:val="000000" w:themeColor="text1"/>
          <w:spacing w:val="-4"/>
        </w:rPr>
        <w:t xml:space="preserve"> </w:t>
      </w:r>
      <w:r w:rsidRPr="00A72C8B">
        <w:rPr>
          <w:rFonts w:ascii="Microsoft GothicNeo" w:eastAsia="Microsoft GothicNeo" w:hAnsi="Microsoft GothicNeo" w:cs="Microsoft GothicNeo"/>
          <w:color w:val="000000" w:themeColor="text1"/>
        </w:rPr>
        <w:t>Education (DfE)</w:t>
      </w:r>
    </w:p>
    <w:p w14:paraId="5021895C" w14:textId="143A0DCF" w:rsidR="00960FE3" w:rsidRPr="00A72C8B" w:rsidRDefault="00960FE3" w:rsidP="00960FE3">
      <w:pPr>
        <w:pStyle w:val="ListParagraph"/>
        <w:numPr>
          <w:ilvl w:val="0"/>
          <w:numId w:val="6"/>
        </w:numPr>
        <w:tabs>
          <w:tab w:val="left" w:pos="1747"/>
        </w:tabs>
        <w:spacing w:before="120"/>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pupil’s</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family</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and</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representatives</w:t>
      </w:r>
    </w:p>
    <w:p w14:paraId="319F7992" w14:textId="68CD7CC6" w:rsidR="00960FE3" w:rsidRPr="00A72C8B" w:rsidRDefault="00960FE3" w:rsidP="00960FE3">
      <w:pPr>
        <w:pStyle w:val="ListParagraph"/>
        <w:numPr>
          <w:ilvl w:val="0"/>
          <w:numId w:val="6"/>
        </w:numPr>
        <w:tabs>
          <w:tab w:val="left" w:pos="1747"/>
        </w:tabs>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internal management and governance bodies</w:t>
      </w:r>
    </w:p>
    <w:p w14:paraId="4E07A623" w14:textId="4378E4D5" w:rsidR="00960FE3" w:rsidRPr="00A72C8B" w:rsidRDefault="00960FE3" w:rsidP="00960FE3">
      <w:pPr>
        <w:pStyle w:val="ListParagraph"/>
        <w:numPr>
          <w:ilvl w:val="0"/>
          <w:numId w:val="6"/>
        </w:numPr>
        <w:tabs>
          <w:tab w:val="left" w:pos="1747"/>
        </w:tabs>
        <w:spacing w:before="118"/>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examination Boards</w:t>
      </w:r>
    </w:p>
    <w:p w14:paraId="167D6D3A" w14:textId="77777777" w:rsidR="00960FE3" w:rsidRPr="00A72C8B" w:rsidRDefault="00960FE3" w:rsidP="00960FE3">
      <w:pPr>
        <w:pStyle w:val="ListParagraph"/>
        <w:numPr>
          <w:ilvl w:val="0"/>
          <w:numId w:val="6"/>
        </w:numPr>
        <w:tabs>
          <w:tab w:val="left" w:pos="1747"/>
        </w:tabs>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Ofsted</w:t>
      </w:r>
    </w:p>
    <w:p w14:paraId="64D3FBBF" w14:textId="77843225" w:rsidR="00960FE3" w:rsidRPr="00A72C8B" w:rsidRDefault="00960FE3" w:rsidP="00960FE3">
      <w:pPr>
        <w:pStyle w:val="ListParagraph"/>
        <w:numPr>
          <w:ilvl w:val="0"/>
          <w:numId w:val="6"/>
        </w:numPr>
        <w:tabs>
          <w:tab w:val="left" w:pos="1747"/>
        </w:tabs>
        <w:spacing w:before="120"/>
        <w:ind w:right="1486"/>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 xml:space="preserve">third party suppliers and service providers </w:t>
      </w:r>
    </w:p>
    <w:p w14:paraId="336DB8A3" w14:textId="6C98AAF3" w:rsidR="00960FE3" w:rsidRPr="00A72C8B" w:rsidRDefault="00960FE3" w:rsidP="00960FE3">
      <w:pPr>
        <w:pStyle w:val="ListParagraph"/>
        <w:numPr>
          <w:ilvl w:val="0"/>
          <w:numId w:val="6"/>
        </w:numPr>
        <w:tabs>
          <w:tab w:val="left" w:pos="1747"/>
        </w:tabs>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health</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authorities</w:t>
      </w:r>
    </w:p>
    <w:p w14:paraId="13510E6C" w14:textId="1D31CA45" w:rsidR="00960FE3" w:rsidRPr="00A72C8B" w:rsidRDefault="00960FE3" w:rsidP="00960FE3">
      <w:pPr>
        <w:pStyle w:val="ListParagraph"/>
        <w:numPr>
          <w:ilvl w:val="0"/>
          <w:numId w:val="6"/>
        </w:numPr>
        <w:tabs>
          <w:tab w:val="left" w:pos="1747"/>
        </w:tabs>
        <w:spacing w:before="120"/>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health and</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social</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welfare</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organisations</w:t>
      </w:r>
    </w:p>
    <w:p w14:paraId="27A30A78" w14:textId="42EAFA05" w:rsidR="00960FE3" w:rsidRPr="00A72C8B" w:rsidRDefault="00960FE3" w:rsidP="00960FE3">
      <w:pPr>
        <w:pStyle w:val="ListParagraph"/>
        <w:numPr>
          <w:ilvl w:val="0"/>
          <w:numId w:val="6"/>
        </w:numPr>
        <w:tabs>
          <w:tab w:val="left" w:pos="1747"/>
        </w:tabs>
        <w:spacing w:before="118"/>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professional</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advisers</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and</w:t>
      </w:r>
      <w:r w:rsidRPr="00A72C8B">
        <w:rPr>
          <w:rFonts w:ascii="Microsoft GothicNeo" w:eastAsia="Microsoft GothicNeo" w:hAnsi="Microsoft GothicNeo" w:cs="Microsoft GothicNeo"/>
          <w:color w:val="000000" w:themeColor="text1"/>
          <w:spacing w:val="-5"/>
        </w:rPr>
        <w:t xml:space="preserve"> </w:t>
      </w:r>
      <w:r w:rsidRPr="00A72C8B">
        <w:rPr>
          <w:rFonts w:ascii="Microsoft GothicNeo" w:eastAsia="Microsoft GothicNeo" w:hAnsi="Microsoft GothicNeo" w:cs="Microsoft GothicNeo"/>
          <w:color w:val="000000" w:themeColor="text1"/>
        </w:rPr>
        <w:t>consultants</w:t>
      </w:r>
    </w:p>
    <w:p w14:paraId="34D57124" w14:textId="0021AF18" w:rsidR="00960FE3" w:rsidRPr="00A72C8B" w:rsidRDefault="00960FE3" w:rsidP="00960FE3">
      <w:pPr>
        <w:pStyle w:val="ListParagraph"/>
        <w:numPr>
          <w:ilvl w:val="0"/>
          <w:numId w:val="6"/>
        </w:numPr>
        <w:tabs>
          <w:tab w:val="left" w:pos="1747"/>
        </w:tabs>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charities and</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voluntary</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organisations</w:t>
      </w:r>
    </w:p>
    <w:p w14:paraId="7B6239DB" w14:textId="3AAB3C04" w:rsidR="00960FE3" w:rsidRPr="00A72C8B" w:rsidRDefault="00960FE3" w:rsidP="00960FE3">
      <w:pPr>
        <w:pStyle w:val="ListParagraph"/>
        <w:numPr>
          <w:ilvl w:val="0"/>
          <w:numId w:val="6"/>
        </w:numPr>
        <w:tabs>
          <w:tab w:val="left" w:pos="1747"/>
        </w:tabs>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police</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forces,</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courts,</w:t>
      </w:r>
      <w:r w:rsidRPr="00A72C8B">
        <w:rPr>
          <w:rFonts w:ascii="Microsoft GothicNeo" w:eastAsia="Microsoft GothicNeo" w:hAnsi="Microsoft GothicNeo" w:cs="Microsoft GothicNeo"/>
          <w:color w:val="000000" w:themeColor="text1"/>
          <w:spacing w:val="-3"/>
        </w:rPr>
        <w:t xml:space="preserve"> </w:t>
      </w:r>
      <w:r w:rsidRPr="00A72C8B">
        <w:rPr>
          <w:rFonts w:ascii="Microsoft GothicNeo" w:eastAsia="Microsoft GothicNeo" w:hAnsi="Microsoft GothicNeo" w:cs="Microsoft GothicNeo"/>
          <w:color w:val="000000" w:themeColor="text1"/>
        </w:rPr>
        <w:t>tribunals,</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youth</w:t>
      </w:r>
      <w:r w:rsidRPr="00A72C8B">
        <w:rPr>
          <w:rFonts w:ascii="Microsoft GothicNeo" w:eastAsia="Microsoft GothicNeo" w:hAnsi="Microsoft GothicNeo" w:cs="Microsoft GothicNeo"/>
          <w:color w:val="000000" w:themeColor="text1"/>
          <w:spacing w:val="-1"/>
        </w:rPr>
        <w:t xml:space="preserve"> </w:t>
      </w:r>
      <w:r w:rsidRPr="00A72C8B">
        <w:rPr>
          <w:rFonts w:ascii="Microsoft GothicNeo" w:eastAsia="Microsoft GothicNeo" w:hAnsi="Microsoft GothicNeo" w:cs="Microsoft GothicNeo"/>
          <w:color w:val="000000" w:themeColor="text1"/>
        </w:rPr>
        <w:t>offending</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team</w:t>
      </w:r>
    </w:p>
    <w:p w14:paraId="02528737" w14:textId="4B586F22" w:rsidR="00960FE3" w:rsidRPr="00A72C8B" w:rsidRDefault="00960FE3" w:rsidP="00960FE3">
      <w:pPr>
        <w:pStyle w:val="ListParagraph"/>
        <w:numPr>
          <w:ilvl w:val="0"/>
          <w:numId w:val="6"/>
        </w:numPr>
        <w:tabs>
          <w:tab w:val="left" w:pos="1747"/>
        </w:tabs>
        <w:spacing w:before="120"/>
        <w:rPr>
          <w:rFonts w:ascii="Microsoft GothicNeo" w:eastAsia="Microsoft GothicNeo" w:hAnsi="Microsoft GothicNeo" w:cs="Microsoft GothicNeo"/>
          <w:color w:val="000000" w:themeColor="text1"/>
        </w:rPr>
      </w:pPr>
      <w:r w:rsidRPr="00A72C8B">
        <w:rPr>
          <w:rFonts w:ascii="Microsoft GothicNeo" w:eastAsia="Microsoft GothicNeo" w:hAnsi="Microsoft GothicNeo" w:cs="Microsoft GothicNeo"/>
          <w:color w:val="000000" w:themeColor="text1"/>
        </w:rPr>
        <w:t>professional</w:t>
      </w:r>
      <w:r w:rsidRPr="00A72C8B">
        <w:rPr>
          <w:rFonts w:ascii="Microsoft GothicNeo" w:eastAsia="Microsoft GothicNeo" w:hAnsi="Microsoft GothicNeo" w:cs="Microsoft GothicNeo"/>
          <w:color w:val="000000" w:themeColor="text1"/>
          <w:spacing w:val="-2"/>
        </w:rPr>
        <w:t xml:space="preserve"> </w:t>
      </w:r>
      <w:r w:rsidRPr="00A72C8B">
        <w:rPr>
          <w:rFonts w:ascii="Microsoft GothicNeo" w:eastAsia="Microsoft GothicNeo" w:hAnsi="Microsoft GothicNeo" w:cs="Microsoft GothicNeo"/>
          <w:color w:val="000000" w:themeColor="text1"/>
        </w:rPr>
        <w:t>bodies</w:t>
      </w:r>
    </w:p>
    <w:p w14:paraId="410F19CE" w14:textId="77777777" w:rsidR="00960FE3" w:rsidRPr="00A72C8B" w:rsidRDefault="00960FE3" w:rsidP="00960FE3">
      <w:pPr>
        <w:ind w:left="76"/>
        <w:rPr>
          <w:color w:val="000000" w:themeColor="text1"/>
          <w:sz w:val="12"/>
          <w:szCs w:val="12"/>
        </w:rPr>
      </w:pPr>
    </w:p>
    <w:p w14:paraId="3E27963F" w14:textId="31924AD7" w:rsidR="00960FE3" w:rsidRPr="00A72C8B" w:rsidRDefault="00960FE3" w:rsidP="00960FE3">
      <w:pPr>
        <w:pStyle w:val="Heading2"/>
        <w:rPr>
          <w:color w:val="000000" w:themeColor="text1"/>
        </w:rPr>
      </w:pPr>
      <w:r w:rsidRPr="00A72C8B">
        <w:rPr>
          <w:color w:val="000000" w:themeColor="text1"/>
        </w:rPr>
        <w:t>Your data protection rights</w:t>
      </w:r>
    </w:p>
    <w:p w14:paraId="2ACE903D" w14:textId="3AB2F05C" w:rsidR="00960FE3" w:rsidRPr="00A72C8B" w:rsidRDefault="00960FE3" w:rsidP="00960FE3">
      <w:pPr>
        <w:rPr>
          <w:color w:val="000000" w:themeColor="text1"/>
          <w:sz w:val="22"/>
          <w:szCs w:val="20"/>
        </w:rPr>
      </w:pPr>
      <w:r w:rsidRPr="00A72C8B">
        <w:rPr>
          <w:color w:val="000000" w:themeColor="text1"/>
          <w:sz w:val="22"/>
          <w:szCs w:val="20"/>
        </w:rPr>
        <w:t xml:space="preserve">For more information about how data is collected, stored, used, and protected, please see our data protection policy which can be found on our website: </w:t>
      </w:r>
      <w:r w:rsidR="00A72C8B" w:rsidRPr="00A72C8B">
        <w:rPr>
          <w:color w:val="000000" w:themeColor="text1"/>
          <w:sz w:val="22"/>
          <w:szCs w:val="20"/>
        </w:rPr>
        <w:t>https://www.murraypark.derby.sch.uk/key-information/gdpr-and-data-protection/</w:t>
      </w:r>
    </w:p>
    <w:p w14:paraId="518049CD" w14:textId="4804749D" w:rsidR="00960FE3" w:rsidRPr="00A72C8B" w:rsidRDefault="00960FE3" w:rsidP="00960FE3">
      <w:pPr>
        <w:rPr>
          <w:color w:val="000000" w:themeColor="text1"/>
          <w:sz w:val="22"/>
          <w:szCs w:val="20"/>
        </w:rPr>
      </w:pPr>
      <w:r w:rsidRPr="00A72C8B">
        <w:rPr>
          <w:color w:val="000000" w:themeColor="text1"/>
          <w:sz w:val="22"/>
          <w:szCs w:val="20"/>
        </w:rPr>
        <w:t xml:space="preserve">You will find details about your rights and how to access data we hold, and what to do is you are not satisfied or wish to complain. </w:t>
      </w:r>
    </w:p>
    <w:p w14:paraId="6DFA75BC" w14:textId="1CBFCA0C" w:rsidR="002C0455" w:rsidRPr="00A72C8B" w:rsidRDefault="002C0455" w:rsidP="00960FE3">
      <w:pPr>
        <w:rPr>
          <w:color w:val="000000" w:themeColor="text1"/>
          <w:sz w:val="22"/>
          <w:szCs w:val="20"/>
        </w:rPr>
      </w:pPr>
      <w:r w:rsidRPr="00A72C8B">
        <w:rPr>
          <w:color w:val="000000" w:themeColor="text1"/>
          <w:sz w:val="22"/>
          <w:szCs w:val="20"/>
        </w:rPr>
        <w:t>If you think our collection or use of personal information is unfair, misleading or inappropriate or have any other concern about our data processing please raise this with us in first instance by contacting [name your data protection lead].</w:t>
      </w:r>
    </w:p>
    <w:p w14:paraId="04B6F6F8" w14:textId="4E11F312" w:rsidR="002C0455" w:rsidRPr="00A72C8B" w:rsidRDefault="002C0455" w:rsidP="00960FE3">
      <w:pPr>
        <w:rPr>
          <w:color w:val="000000" w:themeColor="text1"/>
          <w:sz w:val="22"/>
          <w:szCs w:val="20"/>
        </w:rPr>
      </w:pPr>
      <w:r w:rsidRPr="00A72C8B">
        <w:rPr>
          <w:color w:val="000000" w:themeColor="text1"/>
          <w:sz w:val="22"/>
          <w:szCs w:val="20"/>
        </w:rPr>
        <w:t>You have the right to complain with the Information Commissioner’s Office through the below channels.</w:t>
      </w:r>
    </w:p>
    <w:p w14:paraId="21A6D5A1" w14:textId="311DCF4B" w:rsidR="002C0455" w:rsidRPr="00A72C8B" w:rsidRDefault="002C0455" w:rsidP="00960FE3">
      <w:pPr>
        <w:rPr>
          <w:color w:val="000000" w:themeColor="text1"/>
          <w:sz w:val="22"/>
          <w:szCs w:val="20"/>
        </w:rPr>
      </w:pPr>
      <w:r w:rsidRPr="00A72C8B">
        <w:rPr>
          <w:color w:val="000000" w:themeColor="text1"/>
          <w:sz w:val="22"/>
          <w:szCs w:val="20"/>
        </w:rPr>
        <w:t xml:space="preserve">Report a concern online: </w:t>
      </w:r>
      <w:hyperlink r:id="rId11">
        <w:r w:rsidRPr="00A72C8B">
          <w:rPr>
            <w:color w:val="000000" w:themeColor="text1"/>
            <w:sz w:val="22"/>
            <w:szCs w:val="20"/>
          </w:rPr>
          <w:t>https://ico.org.uk/concerns/</w:t>
        </w:r>
      </w:hyperlink>
    </w:p>
    <w:p w14:paraId="4D280B11" w14:textId="77777777" w:rsidR="002C0455" w:rsidRPr="00A72C8B" w:rsidRDefault="002C0455" w:rsidP="002C0455">
      <w:pPr>
        <w:rPr>
          <w:color w:val="000000" w:themeColor="text1"/>
          <w:sz w:val="22"/>
          <w:szCs w:val="20"/>
        </w:rPr>
      </w:pPr>
      <w:r w:rsidRPr="00A72C8B">
        <w:rPr>
          <w:color w:val="000000" w:themeColor="text1"/>
          <w:sz w:val="22"/>
          <w:szCs w:val="20"/>
        </w:rPr>
        <w:t>Call: 0303 123 1113</w:t>
      </w:r>
    </w:p>
    <w:p w14:paraId="049DD41A" w14:textId="143D7727" w:rsidR="002C0455" w:rsidRPr="00A72C8B" w:rsidRDefault="002C0455" w:rsidP="00960FE3">
      <w:pPr>
        <w:rPr>
          <w:color w:val="000000" w:themeColor="text1"/>
          <w:sz w:val="22"/>
          <w:szCs w:val="20"/>
        </w:rPr>
      </w:pPr>
    </w:p>
    <w:p w14:paraId="0C8FAE24" w14:textId="000D31AD" w:rsidR="002C0455" w:rsidRPr="00A72C8B" w:rsidRDefault="002C0455" w:rsidP="00960FE3">
      <w:pPr>
        <w:rPr>
          <w:color w:val="000000" w:themeColor="text1"/>
          <w:sz w:val="22"/>
          <w:szCs w:val="20"/>
        </w:rPr>
      </w:pPr>
      <w:r w:rsidRPr="00A72C8B">
        <w:rPr>
          <w:color w:val="000000" w:themeColor="text1"/>
          <w:sz w:val="22"/>
          <w:szCs w:val="20"/>
        </w:rPr>
        <w:t>Write to: Information Commissioner’s Office, Wycliffe House, Water Lane, Wilmslow, Cheshire, SK9 5AF</w:t>
      </w:r>
    </w:p>
    <w:p w14:paraId="15377485" w14:textId="77777777" w:rsidR="002C0455" w:rsidRPr="00A72C8B" w:rsidRDefault="002C0455" w:rsidP="002C0455">
      <w:pPr>
        <w:ind w:left="0"/>
        <w:rPr>
          <w:color w:val="000000" w:themeColor="text1"/>
          <w:sz w:val="12"/>
          <w:szCs w:val="12"/>
        </w:rPr>
      </w:pPr>
    </w:p>
    <w:p w14:paraId="7DD95CE2" w14:textId="6705A759" w:rsidR="00960FE3" w:rsidRPr="00A72C8B" w:rsidRDefault="002C0455" w:rsidP="002C0455">
      <w:pPr>
        <w:pStyle w:val="Heading2"/>
        <w:rPr>
          <w:color w:val="000000" w:themeColor="text1"/>
        </w:rPr>
      </w:pPr>
      <w:r w:rsidRPr="00A72C8B">
        <w:rPr>
          <w:color w:val="000000" w:themeColor="text1"/>
        </w:rPr>
        <w:t>Review</w:t>
      </w:r>
    </w:p>
    <w:p w14:paraId="0DCBE8AB" w14:textId="0242E8D5" w:rsidR="002C0455" w:rsidRPr="00A72C8B" w:rsidRDefault="002C0455" w:rsidP="002C0455">
      <w:pPr>
        <w:rPr>
          <w:color w:val="000000" w:themeColor="text1"/>
          <w:sz w:val="22"/>
          <w:szCs w:val="20"/>
        </w:rPr>
      </w:pPr>
      <w:r w:rsidRPr="00A72C8B">
        <w:rPr>
          <w:rFonts w:hint="eastAsia"/>
          <w:color w:val="000000" w:themeColor="text1"/>
          <w:sz w:val="22"/>
          <w:szCs w:val="20"/>
        </w:rPr>
        <w:t>The school will update this privacy notice from time to time. Any substantial changes that affect your rights will be provided to you directly as far as is reasonably practicable.</w:t>
      </w:r>
    </w:p>
    <w:p w14:paraId="5EF1DF37" w14:textId="77777777" w:rsidR="002C0455" w:rsidRPr="002C0455" w:rsidRDefault="002C0455" w:rsidP="002C0455"/>
    <w:sectPr w:rsidR="002C0455" w:rsidRPr="002C045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F43D" w14:textId="77777777" w:rsidR="003708D2" w:rsidRDefault="003708D2" w:rsidP="00960FE3">
      <w:pPr>
        <w:spacing w:before="0"/>
      </w:pPr>
      <w:r>
        <w:separator/>
      </w:r>
    </w:p>
  </w:endnote>
  <w:endnote w:type="continuationSeparator" w:id="0">
    <w:p w14:paraId="2E96461D" w14:textId="77777777" w:rsidR="003708D2" w:rsidRDefault="003708D2" w:rsidP="00960F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127753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E67DD31" w14:textId="5F3DD098" w:rsidR="00960FE3" w:rsidRPr="00960FE3" w:rsidRDefault="00960FE3">
            <w:pPr>
              <w:pStyle w:val="Footer"/>
              <w:jc w:val="right"/>
              <w:rPr>
                <w:sz w:val="18"/>
                <w:szCs w:val="18"/>
              </w:rPr>
            </w:pPr>
            <w:r w:rsidRPr="00960FE3">
              <w:rPr>
                <w:sz w:val="18"/>
                <w:szCs w:val="18"/>
              </w:rPr>
              <w:t xml:space="preserve">Page </w:t>
            </w:r>
            <w:r w:rsidRPr="00960FE3">
              <w:rPr>
                <w:b/>
                <w:bCs/>
                <w:sz w:val="18"/>
                <w:szCs w:val="18"/>
              </w:rPr>
              <w:fldChar w:fldCharType="begin"/>
            </w:r>
            <w:r w:rsidRPr="00960FE3">
              <w:rPr>
                <w:b/>
                <w:bCs/>
                <w:sz w:val="18"/>
                <w:szCs w:val="18"/>
              </w:rPr>
              <w:instrText xml:space="preserve"> PAGE </w:instrText>
            </w:r>
            <w:r w:rsidRPr="00960FE3">
              <w:rPr>
                <w:b/>
                <w:bCs/>
                <w:sz w:val="18"/>
                <w:szCs w:val="18"/>
              </w:rPr>
              <w:fldChar w:fldCharType="separate"/>
            </w:r>
            <w:r w:rsidRPr="00960FE3">
              <w:rPr>
                <w:b/>
                <w:bCs/>
                <w:noProof/>
                <w:sz w:val="18"/>
                <w:szCs w:val="18"/>
              </w:rPr>
              <w:t>2</w:t>
            </w:r>
            <w:r w:rsidRPr="00960FE3">
              <w:rPr>
                <w:b/>
                <w:bCs/>
                <w:sz w:val="18"/>
                <w:szCs w:val="18"/>
              </w:rPr>
              <w:fldChar w:fldCharType="end"/>
            </w:r>
            <w:r w:rsidRPr="00960FE3">
              <w:rPr>
                <w:sz w:val="18"/>
                <w:szCs w:val="18"/>
              </w:rPr>
              <w:t xml:space="preserve"> of </w:t>
            </w:r>
            <w:r w:rsidRPr="00960FE3">
              <w:rPr>
                <w:b/>
                <w:bCs/>
                <w:sz w:val="18"/>
                <w:szCs w:val="18"/>
              </w:rPr>
              <w:fldChar w:fldCharType="begin"/>
            </w:r>
            <w:r w:rsidRPr="00960FE3">
              <w:rPr>
                <w:b/>
                <w:bCs/>
                <w:sz w:val="18"/>
                <w:szCs w:val="18"/>
              </w:rPr>
              <w:instrText xml:space="preserve"> NUMPAGES  </w:instrText>
            </w:r>
            <w:r w:rsidRPr="00960FE3">
              <w:rPr>
                <w:b/>
                <w:bCs/>
                <w:sz w:val="18"/>
                <w:szCs w:val="18"/>
              </w:rPr>
              <w:fldChar w:fldCharType="separate"/>
            </w:r>
            <w:r w:rsidRPr="00960FE3">
              <w:rPr>
                <w:b/>
                <w:bCs/>
                <w:noProof/>
                <w:sz w:val="18"/>
                <w:szCs w:val="18"/>
              </w:rPr>
              <w:t>2</w:t>
            </w:r>
            <w:r w:rsidRPr="00960FE3">
              <w:rPr>
                <w:b/>
                <w:bCs/>
                <w:sz w:val="18"/>
                <w:szCs w:val="18"/>
              </w:rPr>
              <w:fldChar w:fldCharType="end"/>
            </w:r>
          </w:p>
        </w:sdtContent>
      </w:sdt>
    </w:sdtContent>
  </w:sdt>
  <w:p w14:paraId="592CBA0F" w14:textId="77777777" w:rsidR="00960FE3" w:rsidRDefault="00960FE3">
    <w:pPr>
      <w:pStyle w:val="Footer"/>
    </w:pPr>
  </w:p>
  <w:p w14:paraId="27BD0789" w14:textId="77777777" w:rsidR="008F49C1" w:rsidRDefault="008F4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D392" w14:textId="77777777" w:rsidR="003708D2" w:rsidRDefault="003708D2" w:rsidP="00960FE3">
      <w:pPr>
        <w:spacing w:before="0"/>
      </w:pPr>
      <w:r>
        <w:separator/>
      </w:r>
    </w:p>
  </w:footnote>
  <w:footnote w:type="continuationSeparator" w:id="0">
    <w:p w14:paraId="6CE10067" w14:textId="77777777" w:rsidR="003708D2" w:rsidRDefault="003708D2" w:rsidP="00960FE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3616"/>
    <w:multiLevelType w:val="hybridMultilevel"/>
    <w:tmpl w:val="697C2E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B2215C9"/>
    <w:multiLevelType w:val="hybridMultilevel"/>
    <w:tmpl w:val="D3D6497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294E44C6"/>
    <w:multiLevelType w:val="hybridMultilevel"/>
    <w:tmpl w:val="4D089686"/>
    <w:lvl w:ilvl="0" w:tplc="091E3574">
      <w:numFmt w:val="bullet"/>
      <w:lvlText w:val=""/>
      <w:lvlJc w:val="left"/>
      <w:pPr>
        <w:ind w:left="1746" w:hanging="284"/>
      </w:pPr>
      <w:rPr>
        <w:rFonts w:ascii="Symbol" w:eastAsia="Symbol" w:hAnsi="Symbol" w:cs="Symbol" w:hint="default"/>
        <w:b w:val="0"/>
        <w:bCs w:val="0"/>
        <w:i w:val="0"/>
        <w:iCs w:val="0"/>
        <w:w w:val="100"/>
        <w:sz w:val="22"/>
        <w:szCs w:val="22"/>
        <w:lang w:val="en-GB" w:eastAsia="en-US" w:bidi="ar-SA"/>
      </w:rPr>
    </w:lvl>
    <w:lvl w:ilvl="1" w:tplc="2C04EC44">
      <w:numFmt w:val="bullet"/>
      <w:lvlText w:val="•"/>
      <w:lvlJc w:val="left"/>
      <w:pPr>
        <w:ind w:left="2706" w:hanging="284"/>
      </w:pPr>
      <w:rPr>
        <w:rFonts w:hint="default"/>
        <w:lang w:val="en-GB" w:eastAsia="en-US" w:bidi="ar-SA"/>
      </w:rPr>
    </w:lvl>
    <w:lvl w:ilvl="2" w:tplc="75C6C33A">
      <w:numFmt w:val="bullet"/>
      <w:lvlText w:val="•"/>
      <w:lvlJc w:val="left"/>
      <w:pPr>
        <w:ind w:left="3673" w:hanging="284"/>
      </w:pPr>
      <w:rPr>
        <w:rFonts w:hint="default"/>
        <w:lang w:val="en-GB" w:eastAsia="en-US" w:bidi="ar-SA"/>
      </w:rPr>
    </w:lvl>
    <w:lvl w:ilvl="3" w:tplc="1E5860B6">
      <w:numFmt w:val="bullet"/>
      <w:lvlText w:val="•"/>
      <w:lvlJc w:val="left"/>
      <w:pPr>
        <w:ind w:left="4639" w:hanging="284"/>
      </w:pPr>
      <w:rPr>
        <w:rFonts w:hint="default"/>
        <w:lang w:val="en-GB" w:eastAsia="en-US" w:bidi="ar-SA"/>
      </w:rPr>
    </w:lvl>
    <w:lvl w:ilvl="4" w:tplc="9760BD0A">
      <w:numFmt w:val="bullet"/>
      <w:lvlText w:val="•"/>
      <w:lvlJc w:val="left"/>
      <w:pPr>
        <w:ind w:left="5606" w:hanging="284"/>
      </w:pPr>
      <w:rPr>
        <w:rFonts w:hint="default"/>
        <w:lang w:val="en-GB" w:eastAsia="en-US" w:bidi="ar-SA"/>
      </w:rPr>
    </w:lvl>
    <w:lvl w:ilvl="5" w:tplc="B3B4B862">
      <w:numFmt w:val="bullet"/>
      <w:lvlText w:val="•"/>
      <w:lvlJc w:val="left"/>
      <w:pPr>
        <w:ind w:left="6573" w:hanging="284"/>
      </w:pPr>
      <w:rPr>
        <w:rFonts w:hint="default"/>
        <w:lang w:val="en-GB" w:eastAsia="en-US" w:bidi="ar-SA"/>
      </w:rPr>
    </w:lvl>
    <w:lvl w:ilvl="6" w:tplc="020AB6E0">
      <w:numFmt w:val="bullet"/>
      <w:lvlText w:val="•"/>
      <w:lvlJc w:val="left"/>
      <w:pPr>
        <w:ind w:left="7539" w:hanging="284"/>
      </w:pPr>
      <w:rPr>
        <w:rFonts w:hint="default"/>
        <w:lang w:val="en-GB" w:eastAsia="en-US" w:bidi="ar-SA"/>
      </w:rPr>
    </w:lvl>
    <w:lvl w:ilvl="7" w:tplc="60B6A35A">
      <w:numFmt w:val="bullet"/>
      <w:lvlText w:val="•"/>
      <w:lvlJc w:val="left"/>
      <w:pPr>
        <w:ind w:left="8506" w:hanging="284"/>
      </w:pPr>
      <w:rPr>
        <w:rFonts w:hint="default"/>
        <w:lang w:val="en-GB" w:eastAsia="en-US" w:bidi="ar-SA"/>
      </w:rPr>
    </w:lvl>
    <w:lvl w:ilvl="8" w:tplc="29A62A84">
      <w:numFmt w:val="bullet"/>
      <w:lvlText w:val="•"/>
      <w:lvlJc w:val="left"/>
      <w:pPr>
        <w:ind w:left="9473" w:hanging="284"/>
      </w:pPr>
      <w:rPr>
        <w:rFonts w:hint="default"/>
        <w:lang w:val="en-GB" w:eastAsia="en-US" w:bidi="ar-SA"/>
      </w:rPr>
    </w:lvl>
  </w:abstractNum>
  <w:abstractNum w:abstractNumId="3" w15:restartNumberingAfterBreak="0">
    <w:nsid w:val="41FD3D85"/>
    <w:multiLevelType w:val="hybridMultilevel"/>
    <w:tmpl w:val="BEF0A18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33C62BB"/>
    <w:multiLevelType w:val="hybridMultilevel"/>
    <w:tmpl w:val="DE7CE41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68973F61"/>
    <w:multiLevelType w:val="hybridMultilevel"/>
    <w:tmpl w:val="7EE2481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55592505">
    <w:abstractNumId w:val="2"/>
  </w:num>
  <w:num w:numId="2" w16cid:durableId="215165788">
    <w:abstractNumId w:val="1"/>
  </w:num>
  <w:num w:numId="3" w16cid:durableId="762529845">
    <w:abstractNumId w:val="4"/>
  </w:num>
  <w:num w:numId="4" w16cid:durableId="497842966">
    <w:abstractNumId w:val="3"/>
  </w:num>
  <w:num w:numId="5" w16cid:durableId="1236746824">
    <w:abstractNumId w:val="0"/>
  </w:num>
  <w:num w:numId="6" w16cid:durableId="48190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3B"/>
    <w:rsid w:val="002C0455"/>
    <w:rsid w:val="002F7D3B"/>
    <w:rsid w:val="003708D2"/>
    <w:rsid w:val="003D60E1"/>
    <w:rsid w:val="007B737F"/>
    <w:rsid w:val="008F49C1"/>
    <w:rsid w:val="00960FE3"/>
    <w:rsid w:val="00A72C8B"/>
    <w:rsid w:val="00B6071F"/>
    <w:rsid w:val="00C02DAA"/>
    <w:rsid w:val="00C46BBF"/>
    <w:rsid w:val="00C52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698A"/>
  <w15:chartTrackingRefBased/>
  <w15:docId w15:val="{D6ED6363-4BA9-43CE-AA8B-66582872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2F7D3B"/>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autoRedefine/>
    <w:uiPriority w:val="9"/>
    <w:unhideWhenUsed/>
    <w:qFormat/>
    <w:rsid w:val="002F7D3B"/>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3B"/>
    <w:rPr>
      <w:rFonts w:ascii="Microsoft GothicNeo" w:eastAsiaTheme="majorEastAsia" w:hAnsi="Microsoft GothicNeo" w:cstheme="majorBidi"/>
      <w:b/>
      <w:bCs w:val="0"/>
      <w:color w:val="auto"/>
      <w:kern w:val="0"/>
      <w:sz w:val="28"/>
      <w14:ligatures w14:val="none"/>
    </w:rPr>
  </w:style>
  <w:style w:type="character" w:customStyle="1" w:styleId="Heading2Char">
    <w:name w:val="Heading 2 Char"/>
    <w:basedOn w:val="DefaultParagraphFont"/>
    <w:link w:val="Heading2"/>
    <w:uiPriority w:val="9"/>
    <w:rsid w:val="002F7D3B"/>
    <w:rPr>
      <w:rFonts w:ascii="Microsoft GothicNeo" w:eastAsia="Microsoft GothicNeo" w:hAnsi="Microsoft GothicNeo" w:cstheme="majorBidi"/>
      <w:b/>
      <w:bCs w:val="0"/>
      <w:color w:val="auto"/>
      <w:kern w:val="0"/>
      <w:sz w:val="22"/>
      <w:szCs w:val="24"/>
      <w14:ligatures w14:val="none"/>
    </w:rPr>
  </w:style>
  <w:style w:type="paragraph" w:styleId="BodyText">
    <w:name w:val="Body Text"/>
    <w:basedOn w:val="Normal"/>
    <w:link w:val="BodyTextChar"/>
    <w:uiPriority w:val="1"/>
    <w:qFormat/>
    <w:rsid w:val="002F7D3B"/>
    <w:pPr>
      <w:widowControl w:val="0"/>
      <w:autoSpaceDE w:val="0"/>
      <w:autoSpaceDN w:val="0"/>
      <w:spacing w:before="0"/>
      <w:ind w:left="1746"/>
    </w:pPr>
    <w:rPr>
      <w:rFonts w:ascii="Calibri" w:eastAsia="Calibri" w:hAnsi="Calibri" w:cs="Calibri"/>
      <w:sz w:val="22"/>
    </w:rPr>
  </w:style>
  <w:style w:type="character" w:customStyle="1" w:styleId="BodyTextChar">
    <w:name w:val="Body Text Char"/>
    <w:basedOn w:val="DefaultParagraphFont"/>
    <w:link w:val="BodyText"/>
    <w:uiPriority w:val="1"/>
    <w:rsid w:val="002F7D3B"/>
    <w:rPr>
      <w:rFonts w:ascii="Calibri" w:eastAsia="Calibri" w:hAnsi="Calibri" w:cs="Calibri"/>
      <w:bCs w:val="0"/>
      <w:color w:val="auto"/>
      <w:kern w:val="0"/>
      <w:sz w:val="22"/>
      <w:szCs w:val="22"/>
      <w14:ligatures w14:val="none"/>
    </w:rPr>
  </w:style>
  <w:style w:type="paragraph" w:styleId="ListParagraph">
    <w:name w:val="List Paragraph"/>
    <w:basedOn w:val="Normal"/>
    <w:uiPriority w:val="1"/>
    <w:qFormat/>
    <w:rsid w:val="002F7D3B"/>
    <w:pPr>
      <w:widowControl w:val="0"/>
      <w:autoSpaceDE w:val="0"/>
      <w:autoSpaceDN w:val="0"/>
      <w:spacing w:before="121"/>
      <w:ind w:left="1746" w:hanging="284"/>
    </w:pPr>
    <w:rPr>
      <w:rFonts w:ascii="Calibri" w:eastAsia="Calibri" w:hAnsi="Calibri" w:cs="Calibri"/>
      <w:sz w:val="22"/>
    </w:rPr>
  </w:style>
  <w:style w:type="character" w:styleId="CommentReference">
    <w:name w:val="annotation reference"/>
    <w:basedOn w:val="DefaultParagraphFont"/>
    <w:uiPriority w:val="99"/>
    <w:semiHidden/>
    <w:unhideWhenUsed/>
    <w:rsid w:val="002F7D3B"/>
    <w:rPr>
      <w:sz w:val="16"/>
      <w:szCs w:val="16"/>
    </w:rPr>
  </w:style>
  <w:style w:type="paragraph" w:styleId="CommentText">
    <w:name w:val="annotation text"/>
    <w:basedOn w:val="Normal"/>
    <w:link w:val="CommentTextChar"/>
    <w:uiPriority w:val="99"/>
    <w:unhideWhenUsed/>
    <w:rsid w:val="002F7D3B"/>
    <w:rPr>
      <w:sz w:val="20"/>
      <w:szCs w:val="20"/>
    </w:rPr>
  </w:style>
  <w:style w:type="character" w:customStyle="1" w:styleId="CommentTextChar">
    <w:name w:val="Comment Text Char"/>
    <w:basedOn w:val="DefaultParagraphFont"/>
    <w:link w:val="CommentText"/>
    <w:uiPriority w:val="99"/>
    <w:rsid w:val="002F7D3B"/>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7D3B"/>
    <w:rPr>
      <w:b/>
      <w:bCs/>
    </w:rPr>
  </w:style>
  <w:style w:type="character" w:customStyle="1" w:styleId="CommentSubjectChar">
    <w:name w:val="Comment Subject Char"/>
    <w:basedOn w:val="CommentTextChar"/>
    <w:link w:val="CommentSubject"/>
    <w:uiPriority w:val="99"/>
    <w:semiHidden/>
    <w:rsid w:val="002F7D3B"/>
    <w:rPr>
      <w:rFonts w:ascii="Microsoft GothicNeo" w:hAnsi="Microsoft GothicNeo" w:cstheme="minorBidi"/>
      <w:b/>
      <w:bCs/>
      <w:color w:val="auto"/>
      <w:kern w:val="0"/>
      <w:sz w:val="20"/>
      <w:szCs w:val="20"/>
      <w14:ligatures w14:val="none"/>
    </w:rPr>
  </w:style>
  <w:style w:type="paragraph" w:styleId="Header">
    <w:name w:val="header"/>
    <w:basedOn w:val="Normal"/>
    <w:link w:val="HeaderChar"/>
    <w:uiPriority w:val="99"/>
    <w:unhideWhenUsed/>
    <w:rsid w:val="00960FE3"/>
    <w:pPr>
      <w:tabs>
        <w:tab w:val="center" w:pos="4513"/>
        <w:tab w:val="right" w:pos="9026"/>
      </w:tabs>
      <w:spacing w:before="0"/>
    </w:pPr>
  </w:style>
  <w:style w:type="character" w:customStyle="1" w:styleId="HeaderChar">
    <w:name w:val="Header Char"/>
    <w:basedOn w:val="DefaultParagraphFont"/>
    <w:link w:val="Header"/>
    <w:uiPriority w:val="99"/>
    <w:rsid w:val="00960FE3"/>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960FE3"/>
    <w:pPr>
      <w:tabs>
        <w:tab w:val="center" w:pos="4513"/>
        <w:tab w:val="right" w:pos="9026"/>
      </w:tabs>
      <w:spacing w:before="0"/>
    </w:pPr>
  </w:style>
  <w:style w:type="character" w:customStyle="1" w:styleId="FooterChar">
    <w:name w:val="Footer Char"/>
    <w:basedOn w:val="DefaultParagraphFont"/>
    <w:link w:val="Footer"/>
    <w:uiPriority w:val="99"/>
    <w:rsid w:val="00960FE3"/>
    <w:rPr>
      <w:rFonts w:ascii="Microsoft GothicNeo" w:hAnsi="Microsoft GothicNeo" w:cstheme="minorBidi"/>
      <w:bCs w:val="0"/>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f34e38-6174-4939-a579-d9c053b6de34">
      <Terms xmlns="http://schemas.microsoft.com/office/infopath/2007/PartnerControls"/>
    </lcf76f155ced4ddcb4097134ff3c332f>
    <TaxCatchAll xmlns="2455e2c1-ac5d-47ab-897d-fd5d17756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E96B690B218428CBFBBFE2BD663B9" ma:contentTypeVersion="12" ma:contentTypeDescription="Create a new document." ma:contentTypeScope="" ma:versionID="54d6aa3c2bad17eb9ce063bf93a402ad">
  <xsd:schema xmlns:xsd="http://www.w3.org/2001/XMLSchema" xmlns:xs="http://www.w3.org/2001/XMLSchema" xmlns:p="http://schemas.microsoft.com/office/2006/metadata/properties" xmlns:ns2="c8f34e38-6174-4939-a579-d9c053b6de34" xmlns:ns3="2455e2c1-ac5d-47ab-897d-fd5d17756741" targetNamespace="http://schemas.microsoft.com/office/2006/metadata/properties" ma:root="true" ma:fieldsID="e229ddd07fbd6cc9f7c7033ff799fb1f" ns2:_="" ns3:_="">
    <xsd:import namespace="c8f34e38-6174-4939-a579-d9c053b6de34"/>
    <xsd:import namespace="2455e2c1-ac5d-47ab-897d-fd5d17756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4e38-6174-4939-a579-d9c053b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42029-35f6-435d-9d55-d0537d857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5e2c1-ac5d-47ab-897d-fd5d17756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07891d-a22f-4e30-bcae-03a62d1a9516}" ma:internalName="TaxCatchAll" ma:showField="CatchAllData" ma:web="2455e2c1-ac5d-47ab-897d-fd5d1775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C4FD-5F79-4B47-A6BE-3AEC46677196}">
  <ds:schemaRefs>
    <ds:schemaRef ds:uri="http://schemas.microsoft.com/office/2006/metadata/properties"/>
    <ds:schemaRef ds:uri="http://schemas.microsoft.com/office/infopath/2007/PartnerControls"/>
    <ds:schemaRef ds:uri="c8f34e38-6174-4939-a579-d9c053b6de34"/>
    <ds:schemaRef ds:uri="2455e2c1-ac5d-47ab-897d-fd5d17756741"/>
  </ds:schemaRefs>
</ds:datastoreItem>
</file>

<file path=customXml/itemProps2.xml><?xml version="1.0" encoding="utf-8"?>
<ds:datastoreItem xmlns:ds="http://schemas.openxmlformats.org/officeDocument/2006/customXml" ds:itemID="{3266A3E9-2987-4385-8781-D9094E00FA78}">
  <ds:schemaRefs>
    <ds:schemaRef ds:uri="http://schemas.microsoft.com/sharepoint/v3/contenttype/forms"/>
  </ds:schemaRefs>
</ds:datastoreItem>
</file>

<file path=customXml/itemProps3.xml><?xml version="1.0" encoding="utf-8"?>
<ds:datastoreItem xmlns:ds="http://schemas.openxmlformats.org/officeDocument/2006/customXml" ds:itemID="{908C1685-A7A9-45F7-9466-51EC635C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4e38-6174-4939-a579-d9c053b6de34"/>
    <ds:schemaRef ds:uri="2455e2c1-ac5d-47ab-897d-fd5d177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3D6D1-F0EA-4387-B83C-25206102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Catherine Pearch</cp:lastModifiedBy>
  <cp:revision>2</cp:revision>
  <dcterms:created xsi:type="dcterms:W3CDTF">2025-11-14T10:48:00Z</dcterms:created>
  <dcterms:modified xsi:type="dcterms:W3CDTF">2025-11-14T10:48:00Z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0x010100206E96B690B218428CBFBBFE2BD663B9</vt:lpwstr>
  </property>
</Properties>
</file>