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80A1" w14:textId="17C93A20" w:rsidR="00BF469F" w:rsidRDefault="00BF469F" w:rsidP="00BF469F">
      <w:pPr>
        <w:pStyle w:val="Heading1"/>
        <w:jc w:val="center"/>
      </w:pPr>
      <w:bookmarkStart w:id="0" w:name="_GoBack"/>
      <w:bookmarkEnd w:id="0"/>
      <w:r w:rsidRPr="00BF469F">
        <w:rPr>
          <w:noProof/>
        </w:rPr>
        <w:drawing>
          <wp:anchor distT="0" distB="0" distL="114300" distR="114300" simplePos="0" relativeHeight="251658240" behindDoc="0" locked="0" layoutInCell="1" allowOverlap="1" wp14:anchorId="1DC78916" wp14:editId="790F6F27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114550" cy="992505"/>
            <wp:effectExtent l="0" t="0" r="0" b="0"/>
            <wp:wrapSquare wrapText="bothSides"/>
            <wp:docPr id="399118789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8789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7D443" w14:textId="77777777" w:rsidR="00BF469F" w:rsidRDefault="00BF469F" w:rsidP="00BF469F">
      <w:pPr>
        <w:pStyle w:val="Heading1"/>
        <w:jc w:val="center"/>
      </w:pPr>
    </w:p>
    <w:p w14:paraId="26473635" w14:textId="0BAFD3E3" w:rsidR="002F6672" w:rsidRPr="002F6672" w:rsidRDefault="00BE1E1B" w:rsidP="002F6672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</w:pPr>
      <w:r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Mathematics</w:t>
      </w:r>
      <w:r w:rsidR="002F6672" w:rsidRPr="002F6672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 xml:space="preserve"> (</w:t>
      </w:r>
      <w:r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M</w:t>
      </w:r>
      <w:r w:rsidR="002F6672" w:rsidRPr="002F6672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) – Nursery &amp; Reception</w:t>
      </w:r>
    </w:p>
    <w:p w14:paraId="3961D73C" w14:textId="77777777" w:rsidR="00BE1E1B" w:rsidRDefault="00ED1349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At Kelvin Grove, </w:t>
      </w:r>
      <w:r w:rsidR="00BE1E1B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Mathematics</w:t>
      </w: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(</w:t>
      </w:r>
      <w:r w:rsidR="00BE1E1B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M</w:t>
      </w: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) supports children to develop</w:t>
      </w:r>
      <w:r w:rsidR="00BE1E1B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understanding of comparison, counting, cardinality and composition skills, spatial awareness, shape, pattern and measures.  </w:t>
      </w:r>
    </w:p>
    <w:p w14:paraId="5B52220F" w14:textId="65A41944" w:rsidR="0096505E" w:rsidRDefault="00BE1E1B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Children ga</w:t>
      </w:r>
      <w:r w:rsidR="0096505E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in firm foundations in their understanding of number through the ‘Mastering Number’ programme, with a strong focus on using concrete resources and developing mathematical vocabulary and reasoning skills.</w:t>
      </w:r>
    </w:p>
    <w:p w14:paraId="40770120" w14:textId="48323FAB" w:rsidR="00ED1349" w:rsidRPr="00ED1349" w:rsidRDefault="00ED1349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Characteristics of Effective Learning (CoEL) underpin development, encouraging active learning, problem-solving, and perseverance. Our school values of re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sponsibility, community and perseverance</w:t>
      </w:r>
      <w:r w:rsidRPr="00ED134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are embedded throughout.</w:t>
      </w:r>
    </w:p>
    <w:p w14:paraId="0C41E529" w14:textId="05D7BCEA" w:rsidR="00C47D55" w:rsidRPr="00C47D55" w:rsidRDefault="00C47D55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British Values</w:t>
      </w:r>
    </w:p>
    <w:p w14:paraId="4933E97D" w14:textId="30B15484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At Kelvin Grove, British Values are embedded into </w:t>
      </w:r>
      <w:r w:rsidR="0096505E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M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from the earliest stages:</w:t>
      </w:r>
    </w:p>
    <w:p w14:paraId="702F934F" w14:textId="000FE89A" w:rsidR="00173465" w:rsidRPr="000343FF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0343FF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Rule of Law</w:t>
      </w:r>
      <w:r w:rsidRPr="000343FF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Following rules during activities and games</w:t>
      </w:r>
      <w:r w:rsidR="000343FF" w:rsidRPr="000343FF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to ensure it is fair for all.</w:t>
      </w:r>
    </w:p>
    <w:p w14:paraId="6C331E48" w14:textId="567723C8" w:rsidR="00173465" w:rsidRPr="000343FF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0343FF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Individual Liberty</w:t>
      </w:r>
      <w:r w:rsidRPr="000343FF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</w:t>
      </w:r>
      <w:r w:rsidR="000343FF" w:rsidRPr="000343FF">
        <w:rPr>
          <w:rFonts w:asciiTheme="majorHAnsi" w:hAnsiTheme="majorHAnsi" w:cstheme="majorHAnsi"/>
          <w:sz w:val="24"/>
          <w:szCs w:val="24"/>
        </w:rPr>
        <w:t>Choosing how to solve a problem</w:t>
      </w:r>
      <w:r w:rsidR="009673B4">
        <w:rPr>
          <w:rFonts w:asciiTheme="majorHAnsi" w:hAnsiTheme="majorHAnsi" w:cstheme="majorHAnsi"/>
          <w:sz w:val="24"/>
          <w:szCs w:val="24"/>
        </w:rPr>
        <w:t>,</w:t>
      </w:r>
      <w:r w:rsidR="000343FF" w:rsidRPr="000343FF">
        <w:rPr>
          <w:rFonts w:asciiTheme="majorHAnsi" w:hAnsiTheme="majorHAnsi" w:cstheme="majorHAnsi"/>
          <w:sz w:val="24"/>
          <w:szCs w:val="24"/>
        </w:rPr>
        <w:t xml:space="preserve"> or which resources to use</w:t>
      </w:r>
      <w:r w:rsidR="000343FF">
        <w:rPr>
          <w:rFonts w:asciiTheme="majorHAnsi" w:hAnsiTheme="majorHAnsi" w:cstheme="majorHAnsi"/>
          <w:sz w:val="24"/>
          <w:szCs w:val="24"/>
        </w:rPr>
        <w:t>.</w:t>
      </w:r>
    </w:p>
    <w:p w14:paraId="001D8F3F" w14:textId="483F3CB5" w:rsidR="00173465" w:rsidRPr="000343FF" w:rsidRDefault="00173465" w:rsidP="0017346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0343FF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Mutual Respect</w:t>
      </w:r>
      <w:r w:rsidRPr="000343FF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Sharing space, equipment, and taking turns.</w:t>
      </w:r>
    </w:p>
    <w:p w14:paraId="63F870F0" w14:textId="36739E4A" w:rsidR="0096505E" w:rsidRPr="00666ECE" w:rsidRDefault="00173465" w:rsidP="00666EC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0343FF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Democracy</w:t>
      </w:r>
      <w:r w:rsidRPr="000343FF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</w:t>
      </w:r>
      <w:r w:rsidR="0096505E" w:rsidRPr="000343FF">
        <w:rPr>
          <w:rFonts w:asciiTheme="majorHAnsi" w:hAnsiTheme="majorHAnsi" w:cstheme="majorHAnsi"/>
          <w:sz w:val="24"/>
          <w:szCs w:val="24"/>
        </w:rPr>
        <w:t xml:space="preserve">- children make choices, independently and in groups regarding how they will solve a </w:t>
      </w:r>
      <w:r w:rsidR="0096505E" w:rsidRPr="00666ECE">
        <w:rPr>
          <w:rFonts w:asciiTheme="majorHAnsi" w:hAnsiTheme="majorHAnsi" w:cstheme="majorHAnsi"/>
          <w:sz w:val="24"/>
          <w:szCs w:val="24"/>
        </w:rPr>
        <w:t>problem and which resources they will use.</w:t>
      </w:r>
    </w:p>
    <w:p w14:paraId="536BFD4E" w14:textId="4B0180C9" w:rsidR="00173465" w:rsidRPr="000343FF" w:rsidRDefault="00173465" w:rsidP="009650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0343FF">
        <w:rPr>
          <w:rFonts w:asciiTheme="majorHAnsi" w:hAnsiTheme="majorHAnsi" w:cstheme="majorHAnsi"/>
          <w:b/>
          <w:bCs/>
          <w:sz w:val="24"/>
          <w:szCs w:val="24"/>
        </w:rPr>
        <w:t>Tolerance</w:t>
      </w:r>
      <w:r w:rsidRPr="000343FF">
        <w:rPr>
          <w:rFonts w:asciiTheme="majorHAnsi" w:hAnsiTheme="majorHAnsi" w:cstheme="majorHAnsi"/>
          <w:sz w:val="24"/>
          <w:szCs w:val="24"/>
        </w:rPr>
        <w:t xml:space="preserve"> – Working</w:t>
      </w:r>
      <w:r w:rsidR="000343FF" w:rsidRPr="000343FF">
        <w:rPr>
          <w:rFonts w:asciiTheme="majorHAnsi" w:hAnsiTheme="majorHAnsi" w:cstheme="majorHAnsi"/>
          <w:sz w:val="24"/>
          <w:szCs w:val="24"/>
        </w:rPr>
        <w:t xml:space="preserve"> with, </w:t>
      </w:r>
      <w:r w:rsidRPr="000343FF">
        <w:rPr>
          <w:rFonts w:asciiTheme="majorHAnsi" w:hAnsiTheme="majorHAnsi" w:cstheme="majorHAnsi"/>
          <w:sz w:val="24"/>
          <w:szCs w:val="24"/>
        </w:rPr>
        <w:t xml:space="preserve">cooperating </w:t>
      </w:r>
      <w:r w:rsidR="000343FF" w:rsidRPr="000343FF">
        <w:rPr>
          <w:rFonts w:asciiTheme="majorHAnsi" w:hAnsiTheme="majorHAnsi" w:cstheme="majorHAnsi"/>
          <w:sz w:val="24"/>
          <w:szCs w:val="24"/>
        </w:rPr>
        <w:t>and listening to</w:t>
      </w:r>
      <w:r w:rsidRPr="000343FF">
        <w:rPr>
          <w:rFonts w:asciiTheme="majorHAnsi" w:hAnsiTheme="majorHAnsi" w:cstheme="majorHAnsi"/>
          <w:sz w:val="24"/>
          <w:szCs w:val="24"/>
        </w:rPr>
        <w:t xml:space="preserve"> all peers during group activities and games.</w:t>
      </w:r>
    </w:p>
    <w:p w14:paraId="753AB8E0" w14:textId="77777777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0FC2AB9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51BD4BA6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74A9AEE1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700D68B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4C1824B3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F38413A" w14:textId="4AB08EE5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7266C380" w14:textId="77777777" w:rsidR="00941C74" w:rsidRDefault="00941C74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848F731" w14:textId="77777777" w:rsidR="00941C74" w:rsidRDefault="00941C74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2D6215EF" w14:textId="72A9D777" w:rsidR="00C47D55" w:rsidRPr="002F6672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3F10C2C2" wp14:editId="11F3C9E5">
            <wp:extent cx="2115185" cy="993775"/>
            <wp:effectExtent l="0" t="0" r="0" b="0"/>
            <wp:docPr id="82860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1349" w:rsidRPr="00ED1349">
        <w:rPr>
          <w:rFonts w:asciiTheme="majorHAnsi" w:eastAsia="Times New Roman" w:hAnsiTheme="majorHAnsi" w:cstheme="majorHAnsi"/>
          <w:b/>
          <w:bCs/>
          <w:color w:val="1F497D" w:themeColor="text2"/>
          <w:sz w:val="28"/>
          <w:szCs w:val="28"/>
          <w:lang w:val="en-GB" w:eastAsia="en-GB"/>
        </w:rPr>
        <w:t>Progression Overview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85"/>
        <w:gridCol w:w="4887"/>
      </w:tblGrid>
      <w:tr w:rsidR="002423F0" w:rsidRPr="00BF469F" w14:paraId="3C9273CB" w14:textId="77777777" w:rsidTr="00941C74">
        <w:trPr>
          <w:trHeight w:val="474"/>
          <w:jc w:val="center"/>
        </w:trPr>
        <w:tc>
          <w:tcPr>
            <w:tcW w:w="1271" w:type="dxa"/>
          </w:tcPr>
          <w:p w14:paraId="05F1BA8B" w14:textId="77777777" w:rsidR="002423F0" w:rsidRPr="00BF469F" w:rsidRDefault="00666EC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4185" w:type="dxa"/>
          </w:tcPr>
          <w:p w14:paraId="258E0F69" w14:textId="77777777" w:rsidR="002423F0" w:rsidRPr="00BF469F" w:rsidRDefault="00666EC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Nursery – Foundations</w:t>
            </w:r>
          </w:p>
        </w:tc>
        <w:tc>
          <w:tcPr>
            <w:tcW w:w="4887" w:type="dxa"/>
          </w:tcPr>
          <w:p w14:paraId="55F1E95D" w14:textId="77777777" w:rsidR="002423F0" w:rsidRPr="00BF469F" w:rsidRDefault="00666EC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Reception – Progression</w:t>
            </w:r>
          </w:p>
        </w:tc>
      </w:tr>
      <w:tr w:rsidR="002423F0" w:rsidRPr="00BF469F" w14:paraId="6BBD0BC8" w14:textId="77777777" w:rsidTr="00941C74">
        <w:trPr>
          <w:trHeight w:val="1572"/>
          <w:jc w:val="center"/>
        </w:trPr>
        <w:tc>
          <w:tcPr>
            <w:tcW w:w="1271" w:type="dxa"/>
          </w:tcPr>
          <w:p w14:paraId="597118DF" w14:textId="4F5372AE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Comparison, Counting, Cardinality and Composition</w:t>
            </w:r>
          </w:p>
        </w:tc>
        <w:tc>
          <w:tcPr>
            <w:tcW w:w="4185" w:type="dxa"/>
          </w:tcPr>
          <w:p w14:paraId="62D412F4" w14:textId="33A48646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Using </w:t>
            </w:r>
            <w:r w:rsidR="009673B4">
              <w:rPr>
                <w:rFonts w:asciiTheme="majorHAnsi" w:hAnsiTheme="majorHAnsi" w:cstheme="majorHAnsi"/>
                <w:sz w:val="20"/>
                <w:szCs w:val="20"/>
              </w:rPr>
              <w:t>‘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lots</w:t>
            </w:r>
            <w:r w:rsidR="009673B4">
              <w:rPr>
                <w:rFonts w:asciiTheme="majorHAnsi" w:hAnsiTheme="majorHAnsi" w:cstheme="majorHAnsi"/>
                <w:sz w:val="20"/>
                <w:szCs w:val="20"/>
              </w:rPr>
              <w:t>,’ ‘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more</w:t>
            </w:r>
            <w:r w:rsidR="009673B4">
              <w:rPr>
                <w:rFonts w:asciiTheme="majorHAnsi" w:hAnsiTheme="majorHAnsi" w:cstheme="majorHAnsi"/>
                <w:sz w:val="20"/>
                <w:szCs w:val="20"/>
              </w:rPr>
              <w:t>’ and ‘same’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compare quantities, </w:t>
            </w:r>
            <w:r w:rsidR="009673B4">
              <w:rPr>
                <w:rFonts w:asciiTheme="majorHAnsi" w:hAnsiTheme="majorHAnsi" w:cstheme="majorHAnsi"/>
                <w:sz w:val="20"/>
                <w:szCs w:val="20"/>
              </w:rPr>
              <w:t>begins to say numbers in order, beginning to notice numerals, beginning to count on their fingers.</w:t>
            </w:r>
          </w:p>
        </w:tc>
        <w:tc>
          <w:tcPr>
            <w:tcW w:w="4887" w:type="dxa"/>
          </w:tcPr>
          <w:p w14:paraId="7CE802B6" w14:textId="714D3548" w:rsidR="002423F0" w:rsidRPr="00BF469F" w:rsidRDefault="009673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Uses number names and symbols when comparing numbers, enjoys reciting numbers 0-10 (and beyond, and back again, increasing</w:t>
            </w:r>
            <w:r w:rsidR="00941C74">
              <w:rPr>
                <w:rFonts w:asciiTheme="majorHAnsi" w:hAnsiTheme="majorHAnsi" w:cstheme="majorHAnsi"/>
                <w:sz w:val="20"/>
                <w:szCs w:val="20"/>
              </w:rPr>
              <w:t>ly confident at putting numbers in order, subitizes groups of up to 5, matches numerals to groups of objects, understands numbers are made up of smaller objects, in practical activities adds 1 and subtracts 1, begins to work out mathematical problems using signs and strategies of their own choosing.</w:t>
            </w:r>
          </w:p>
        </w:tc>
      </w:tr>
      <w:tr w:rsidR="002423F0" w:rsidRPr="00BF469F" w14:paraId="6869B0FD" w14:textId="77777777" w:rsidTr="00941C74">
        <w:trPr>
          <w:trHeight w:val="1305"/>
          <w:jc w:val="center"/>
        </w:trPr>
        <w:tc>
          <w:tcPr>
            <w:tcW w:w="1271" w:type="dxa"/>
          </w:tcPr>
          <w:p w14:paraId="4E79E7AC" w14:textId="49A0E4A5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Spatial Awareness</w:t>
            </w:r>
          </w:p>
        </w:tc>
        <w:tc>
          <w:tcPr>
            <w:tcW w:w="4185" w:type="dxa"/>
          </w:tcPr>
          <w:p w14:paraId="35B9A09B" w14:textId="030145F6" w:rsidR="002423F0" w:rsidRPr="009673B4" w:rsidRDefault="009673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Moves their bodies and toys around objects and explores fitting into spaces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b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egins to remember their way around familiar environments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r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esponds to some spatial and positional language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e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xplores how things look from different viewpoints including things that are near or far away</w:t>
            </w:r>
          </w:p>
        </w:tc>
        <w:tc>
          <w:tcPr>
            <w:tcW w:w="4887" w:type="dxa"/>
          </w:tcPr>
          <w:p w14:paraId="2D531C19" w14:textId="20C59B64" w:rsidR="002423F0" w:rsidRPr="00941C74" w:rsidRDefault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Uses spatial language, including following and giving directions,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nvestigates turning and flipping objects in order to make shapes fit and create models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may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 xml:space="preserve"> enjoy making simple maps of familiar and imaginative environments, with landmarks</w:t>
            </w:r>
          </w:p>
        </w:tc>
      </w:tr>
      <w:tr w:rsidR="002423F0" w:rsidRPr="00BF469F" w14:paraId="3D493F38" w14:textId="77777777" w:rsidTr="00941C74">
        <w:trPr>
          <w:trHeight w:val="1586"/>
          <w:jc w:val="center"/>
        </w:trPr>
        <w:tc>
          <w:tcPr>
            <w:tcW w:w="1271" w:type="dxa"/>
          </w:tcPr>
          <w:p w14:paraId="39B7C5CF" w14:textId="159B60BD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Shape</w:t>
            </w:r>
          </w:p>
        </w:tc>
        <w:tc>
          <w:tcPr>
            <w:tcW w:w="4185" w:type="dxa"/>
          </w:tcPr>
          <w:p w14:paraId="5A2C5F41" w14:textId="0D72AA70" w:rsidR="002423F0" w:rsidRPr="009673B4" w:rsidRDefault="009673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Chooses puzzle pieces and tries to fit them 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r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ecognises that two objects have the same shape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m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akes simple constructions</w:t>
            </w:r>
          </w:p>
        </w:tc>
        <w:tc>
          <w:tcPr>
            <w:tcW w:w="4887" w:type="dxa"/>
          </w:tcPr>
          <w:p w14:paraId="734F1E45" w14:textId="10BF59DE" w:rsidR="002423F0" w:rsidRPr="00941C74" w:rsidRDefault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Uses informal language and analogies, (e.g. heart-shaped and hand-shaped leaves), as well as mathematical terms to describe shapes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e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njoys composing and decomposing shapes, learning which shapes combine to make other shapes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u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ses own ideas to make models of increasing complexity, selecting blocks needed, solving problems and visualising what they will build</w:t>
            </w:r>
          </w:p>
        </w:tc>
      </w:tr>
      <w:tr w:rsidR="002423F0" w:rsidRPr="00BF469F" w14:paraId="138846D4" w14:textId="77777777" w:rsidTr="00941C74">
        <w:trPr>
          <w:trHeight w:val="1305"/>
          <w:jc w:val="center"/>
        </w:trPr>
        <w:tc>
          <w:tcPr>
            <w:tcW w:w="1271" w:type="dxa"/>
          </w:tcPr>
          <w:p w14:paraId="3E0B0E73" w14:textId="3B7E06EA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Pattern</w:t>
            </w:r>
          </w:p>
        </w:tc>
        <w:tc>
          <w:tcPr>
            <w:tcW w:w="4185" w:type="dxa"/>
          </w:tcPr>
          <w:p w14:paraId="49363A14" w14:textId="4935B869" w:rsidR="002423F0" w:rsidRPr="009673B4" w:rsidRDefault="009673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Joins in and anticipates repeated sound and action patterns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i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s interested in what happens next using the pattern of everyday routines</w:t>
            </w:r>
          </w:p>
        </w:tc>
        <w:tc>
          <w:tcPr>
            <w:tcW w:w="4887" w:type="dxa"/>
          </w:tcPr>
          <w:p w14:paraId="405EE51C" w14:textId="30A6C3CD" w:rsidR="002423F0" w:rsidRPr="00941C74" w:rsidRDefault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Spots patterns in the environment, beginning to identify the pattern “rule”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c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hooses familiar objects to create and recreate repeating patterns beyond AB patterns and begins to identify the unit of repeat</w:t>
            </w:r>
          </w:p>
        </w:tc>
      </w:tr>
      <w:tr w:rsidR="002423F0" w:rsidRPr="00BF469F" w14:paraId="3148887D" w14:textId="77777777" w:rsidTr="00941C74">
        <w:trPr>
          <w:trHeight w:val="1572"/>
          <w:jc w:val="center"/>
        </w:trPr>
        <w:tc>
          <w:tcPr>
            <w:tcW w:w="1271" w:type="dxa"/>
          </w:tcPr>
          <w:p w14:paraId="6E11FCD1" w14:textId="57F59A7C" w:rsidR="002423F0" w:rsidRPr="00BF469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Measures</w:t>
            </w:r>
          </w:p>
        </w:tc>
        <w:tc>
          <w:tcPr>
            <w:tcW w:w="4185" w:type="dxa"/>
          </w:tcPr>
          <w:p w14:paraId="431CDAE8" w14:textId="4F2EEE41" w:rsidR="002423F0" w:rsidRPr="009673B4" w:rsidRDefault="009673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Explores differences in size, length, weight and capacity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b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egin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 xml:space="preserve"> to understand some talk about immediate past and future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>egin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9673B4">
              <w:rPr>
                <w:rFonts w:asciiTheme="majorHAnsi" w:hAnsiTheme="majorHAnsi" w:cstheme="majorHAnsi"/>
                <w:sz w:val="20"/>
                <w:szCs w:val="20"/>
              </w:rPr>
              <w:t xml:space="preserve"> to anticipate times of the day such as mealtimes or home time</w:t>
            </w:r>
          </w:p>
        </w:tc>
        <w:tc>
          <w:tcPr>
            <w:tcW w:w="4887" w:type="dxa"/>
          </w:tcPr>
          <w:p w14:paraId="4506CF39" w14:textId="24C2D710" w:rsidR="002423F0" w:rsidRPr="00941C74" w:rsidRDefault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Enjoys tackling problems involving prediction and discussion of comparisons of length, weight or capacity, paying attention to fairness and accuracy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b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ecomes familiar with measuring tools in everyday experiences and play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i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s increasingly able to order and sequence events using everyday language related to time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b</w:t>
            </w:r>
            <w:r w:rsidRPr="00941C74">
              <w:rPr>
                <w:rFonts w:asciiTheme="majorHAnsi" w:hAnsiTheme="majorHAnsi" w:cstheme="majorHAnsi"/>
                <w:sz w:val="20"/>
                <w:szCs w:val="20"/>
              </w:rPr>
              <w:t>eginning to experience measuring time with timers and calendars</w:t>
            </w:r>
          </w:p>
        </w:tc>
      </w:tr>
      <w:tr w:rsidR="000343FF" w:rsidRPr="00BF469F" w14:paraId="6BEA1A04" w14:textId="77777777" w:rsidTr="00941C74">
        <w:trPr>
          <w:trHeight w:val="1572"/>
          <w:jc w:val="center"/>
        </w:trPr>
        <w:tc>
          <w:tcPr>
            <w:tcW w:w="1271" w:type="dxa"/>
          </w:tcPr>
          <w:p w14:paraId="68F436C1" w14:textId="4219F1CB" w:rsidR="000343FF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Hands on Experiences</w:t>
            </w:r>
          </w:p>
        </w:tc>
        <w:tc>
          <w:tcPr>
            <w:tcW w:w="4185" w:type="dxa"/>
          </w:tcPr>
          <w:p w14:paraId="7BE5740F" w14:textId="77777777" w:rsidR="000343FF" w:rsidRPr="00ED1349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7" w:type="dxa"/>
          </w:tcPr>
          <w:p w14:paraId="2CA25D82" w14:textId="77777777" w:rsidR="000343FF" w:rsidRPr="00ED1349" w:rsidRDefault="000343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7CE52B8" w14:textId="544FEE23" w:rsidR="005E0CD5" w:rsidRDefault="005E0CD5"/>
    <w:p w14:paraId="44DFF368" w14:textId="6FD8AC39" w:rsidR="005E0CD5" w:rsidRDefault="005E0CD5">
      <w:r w:rsidRPr="005E0CD5">
        <w:rPr>
          <w:noProof/>
        </w:rPr>
        <w:drawing>
          <wp:inline distT="0" distB="0" distL="0" distR="0" wp14:anchorId="7DEF9E66" wp14:editId="6653FF90">
            <wp:extent cx="2657846" cy="1247949"/>
            <wp:effectExtent l="0" t="0" r="9525" b="9525"/>
            <wp:docPr id="767679903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79903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3630" w14:textId="79DF6265" w:rsidR="00C47D55" w:rsidRDefault="00C47D55">
      <w:r w:rsidRPr="00C47D55">
        <w:t>At Kelvin Grove, vocabulary development is central to children’s learning across all areas of the curriculum. From Nursery to Reception, children build from everyday, familiar words (Tier 1) to more subject-rich, descriptive words (Tier 2) that support thinking, questioning, and explanation.</w:t>
      </w:r>
    </w:p>
    <w:tbl>
      <w:tblPr>
        <w:tblpPr w:leftFromText="180" w:rightFromText="180" w:vertAnchor="text" w:horzAnchor="margin" w:tblpXSpec="center" w:tblpY="30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876"/>
        <w:gridCol w:w="3451"/>
      </w:tblGrid>
      <w:tr w:rsidR="00941C74" w:rsidRPr="00D7129A" w14:paraId="0FB74002" w14:textId="77777777" w:rsidTr="00941C74">
        <w:tc>
          <w:tcPr>
            <w:tcW w:w="3449" w:type="dxa"/>
          </w:tcPr>
          <w:p w14:paraId="5350031C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2876" w:type="dxa"/>
          </w:tcPr>
          <w:p w14:paraId="3F9435AB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Nursery (YN) – Early Words</w:t>
            </w:r>
          </w:p>
        </w:tc>
        <w:tc>
          <w:tcPr>
            <w:tcW w:w="3451" w:type="dxa"/>
          </w:tcPr>
          <w:p w14:paraId="33DBBB90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Reception (YR) – Progression Words</w:t>
            </w:r>
          </w:p>
        </w:tc>
      </w:tr>
      <w:tr w:rsidR="00941C74" w:rsidRPr="00D7129A" w14:paraId="097ACA01" w14:textId="77777777" w:rsidTr="00941C74">
        <w:tc>
          <w:tcPr>
            <w:tcW w:w="3449" w:type="dxa"/>
          </w:tcPr>
          <w:p w14:paraId="041F4527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Gross Motor</w:t>
            </w:r>
          </w:p>
        </w:tc>
        <w:tc>
          <w:tcPr>
            <w:tcW w:w="2876" w:type="dxa"/>
          </w:tcPr>
          <w:p w14:paraId="3EAC9407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run, jump, climb, walk, stop, go, fast, slow</w:t>
            </w:r>
          </w:p>
        </w:tc>
        <w:tc>
          <w:tcPr>
            <w:tcW w:w="3451" w:type="dxa"/>
          </w:tcPr>
          <w:p w14:paraId="7DB7A67B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balance, coordination, skip, hop, stretch, roll, direction, posture</w:t>
            </w:r>
          </w:p>
        </w:tc>
      </w:tr>
      <w:tr w:rsidR="00941C74" w:rsidRPr="00D7129A" w14:paraId="23F3B301" w14:textId="77777777" w:rsidTr="00941C74">
        <w:tc>
          <w:tcPr>
            <w:tcW w:w="3449" w:type="dxa"/>
          </w:tcPr>
          <w:p w14:paraId="46A42BA8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Fine Motor / Tools</w:t>
            </w:r>
          </w:p>
        </w:tc>
        <w:tc>
          <w:tcPr>
            <w:tcW w:w="2876" w:type="dxa"/>
          </w:tcPr>
          <w:p w14:paraId="232B94B7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hold, grip, cut, push, pull, mark, draw</w:t>
            </w:r>
          </w:p>
        </w:tc>
        <w:tc>
          <w:tcPr>
            <w:tcW w:w="3451" w:type="dxa"/>
          </w:tcPr>
          <w:p w14:paraId="59F4EB4C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pinch, thread, measure, trace, scissors, brush, manipulate, precision</w:t>
            </w:r>
          </w:p>
        </w:tc>
      </w:tr>
      <w:tr w:rsidR="00941C74" w:rsidRPr="00D7129A" w14:paraId="592687A7" w14:textId="77777777" w:rsidTr="00941C74">
        <w:tc>
          <w:tcPr>
            <w:tcW w:w="3449" w:type="dxa"/>
          </w:tcPr>
          <w:p w14:paraId="5726F285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Health &amp; Self-care</w:t>
            </w:r>
          </w:p>
        </w:tc>
        <w:tc>
          <w:tcPr>
            <w:tcW w:w="2876" w:type="dxa"/>
          </w:tcPr>
          <w:p w14:paraId="0C32CB43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349">
              <w:rPr>
                <w:rFonts w:asciiTheme="majorHAnsi" w:hAnsiTheme="majorHAnsi" w:cstheme="majorHAnsi"/>
                <w:sz w:val="20"/>
                <w:szCs w:val="20"/>
              </w:rPr>
              <w:t>wash, clean, eat, drink, shoes, coa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</w:p>
        </w:tc>
        <w:tc>
          <w:tcPr>
            <w:tcW w:w="3451" w:type="dxa"/>
          </w:tcPr>
          <w:p w14:paraId="13AC6EE2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exercise, hygiene, healthy, nutrition, teeth, energy, rest</w:t>
            </w:r>
          </w:p>
        </w:tc>
      </w:tr>
      <w:tr w:rsidR="00941C74" w:rsidRPr="00D7129A" w14:paraId="0C7661E6" w14:textId="77777777" w:rsidTr="00941C74">
        <w:tc>
          <w:tcPr>
            <w:tcW w:w="3449" w:type="dxa"/>
          </w:tcPr>
          <w:p w14:paraId="362EEA4F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Movement &amp; Games</w:t>
            </w:r>
          </w:p>
        </w:tc>
        <w:tc>
          <w:tcPr>
            <w:tcW w:w="2876" w:type="dxa"/>
          </w:tcPr>
          <w:p w14:paraId="40DFADF8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move, turn, spin, follow, catch</w:t>
            </w:r>
          </w:p>
        </w:tc>
        <w:tc>
          <w:tcPr>
            <w:tcW w:w="3451" w:type="dxa"/>
          </w:tcPr>
          <w:p w14:paraId="6021D1B1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sequence, control, agility, speed, target, teamwork, strategy</w:t>
            </w:r>
          </w:p>
        </w:tc>
      </w:tr>
      <w:tr w:rsidR="00941C74" w:rsidRPr="00D7129A" w14:paraId="287BCE4D" w14:textId="77777777" w:rsidTr="00941C74">
        <w:tc>
          <w:tcPr>
            <w:tcW w:w="3449" w:type="dxa"/>
          </w:tcPr>
          <w:p w14:paraId="34966BED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Hands-on / Practical Experiences</w:t>
            </w:r>
          </w:p>
        </w:tc>
        <w:tc>
          <w:tcPr>
            <w:tcW w:w="2876" w:type="dxa"/>
          </w:tcPr>
          <w:p w14:paraId="09B745DB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dig, build, ride, lift, carry</w:t>
            </w:r>
          </w:p>
        </w:tc>
        <w:tc>
          <w:tcPr>
            <w:tcW w:w="3451" w:type="dxa"/>
          </w:tcPr>
          <w:p w14:paraId="56FFA578" w14:textId="77777777" w:rsidR="00941C74" w:rsidRPr="00D7129A" w:rsidRDefault="00941C74" w:rsidP="00941C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3465">
              <w:rPr>
                <w:rFonts w:asciiTheme="majorHAnsi" w:hAnsiTheme="majorHAnsi" w:cstheme="majorHAnsi"/>
                <w:sz w:val="20"/>
                <w:szCs w:val="20"/>
              </w:rPr>
              <w:t>coordinate, balance, strength, technique, practise, explore, create</w:t>
            </w:r>
          </w:p>
        </w:tc>
      </w:tr>
    </w:tbl>
    <w:p w14:paraId="6D546752" w14:textId="159DC8CE" w:rsidR="005E0CD5" w:rsidRPr="00D7129A" w:rsidRDefault="005E0CD5">
      <w:pPr>
        <w:rPr>
          <w:rFonts w:asciiTheme="majorHAnsi" w:hAnsiTheme="majorHAnsi" w:cstheme="majorHAnsi"/>
          <w:sz w:val="20"/>
          <w:szCs w:val="20"/>
        </w:rPr>
      </w:pPr>
    </w:p>
    <w:p w14:paraId="638BEACE" w14:textId="1BF9A5E5" w:rsidR="005E0CD5" w:rsidRDefault="005E0CD5"/>
    <w:p w14:paraId="56FF8EC8" w14:textId="77777777" w:rsidR="005E0CD5" w:rsidRDefault="005E0CD5"/>
    <w:p w14:paraId="46F996EE" w14:textId="77777777" w:rsidR="005E0CD5" w:rsidRDefault="005E0CD5"/>
    <w:p w14:paraId="4C75CF05" w14:textId="77777777" w:rsidR="005E0CD5" w:rsidRDefault="005E0CD5"/>
    <w:p w14:paraId="1B84D89E" w14:textId="77777777" w:rsidR="00BF469F" w:rsidRDefault="00BF469F"/>
    <w:p w14:paraId="3016BB64" w14:textId="77777777" w:rsidR="00C47D55" w:rsidRDefault="00C47D55"/>
    <w:p w14:paraId="2451DA81" w14:textId="77777777" w:rsidR="00C47D55" w:rsidRDefault="00C47D55"/>
    <w:p w14:paraId="4FFD6373" w14:textId="77777777" w:rsidR="00C47D55" w:rsidRDefault="00C47D55"/>
    <w:p w14:paraId="362B46DF" w14:textId="7BADB2DE" w:rsidR="00BF469F" w:rsidRDefault="00BF469F">
      <w:r>
        <w:rPr>
          <w:noProof/>
        </w:rPr>
        <w:drawing>
          <wp:inline distT="0" distB="0" distL="0" distR="0" wp14:anchorId="54FB7F42" wp14:editId="73616D5E">
            <wp:extent cx="2115185" cy="993775"/>
            <wp:effectExtent l="0" t="0" r="0" b="0"/>
            <wp:docPr id="213842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801C8" w14:textId="77777777" w:rsidR="00BF469F" w:rsidRDefault="00BF469F"/>
    <w:p w14:paraId="442A791D" w14:textId="77777777" w:rsidR="00BF469F" w:rsidRPr="00BF469F" w:rsidRDefault="00BF469F" w:rsidP="00BF469F">
      <w:pPr>
        <w:jc w:val="center"/>
        <w:rPr>
          <w:b/>
          <w:bCs/>
          <w:color w:val="1F497D" w:themeColor="text2"/>
          <w:sz w:val="28"/>
          <w:szCs w:val="28"/>
        </w:rPr>
      </w:pPr>
      <w:r w:rsidRPr="00BF469F">
        <w:rPr>
          <w:b/>
          <w:bCs/>
          <w:color w:val="1F497D" w:themeColor="text2"/>
          <w:sz w:val="28"/>
          <w:szCs w:val="28"/>
        </w:rPr>
        <w:lastRenderedPageBreak/>
        <w:t>Feeding into KS1</w:t>
      </w:r>
    </w:p>
    <w:p w14:paraId="2C753829" w14:textId="77777777" w:rsidR="00BF469F" w:rsidRDefault="00BF469F" w:rsidP="00BF469F"/>
    <w:p w14:paraId="15A052AB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Feeding into KS1</w:t>
      </w:r>
    </w:p>
    <w:p w14:paraId="05A29C2F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Gross and Fine Motor Skills: EYFS exploration prepares children for writing, PE, sports, and practical tasks in KS1.</w:t>
      </w:r>
    </w:p>
    <w:p w14:paraId="4A4E6202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3C12C3A3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Health &amp; Self-care: Early routines form the foundation for independence and understanding healthy lifestyles in KS1.</w:t>
      </w:r>
    </w:p>
    <w:p w14:paraId="36E8270C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032EC13E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Movement &amp; Physical Activity: Free and structured play in EYFS develops stamina, coordination, and team-working skills used in KS1 games and PE lessons.</w:t>
      </w:r>
    </w:p>
    <w:p w14:paraId="33B81EBF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39805A35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Language &amp; Vocabulary: Tier 1 and Tier 2 PD vocabulary in EYFS supports instructions, explanations, and descriptions in KS1 PE, science, and DT activities.</w:t>
      </w:r>
    </w:p>
    <w:p w14:paraId="0C11856A" w14:textId="77777777" w:rsidR="00173465" w:rsidRPr="00173465" w:rsidRDefault="00173465" w:rsidP="00173465">
      <w:pPr>
        <w:rPr>
          <w:rFonts w:asciiTheme="majorHAnsi" w:hAnsiTheme="majorHAnsi" w:cstheme="majorHAnsi"/>
          <w:sz w:val="24"/>
          <w:szCs w:val="24"/>
        </w:rPr>
      </w:pPr>
    </w:p>
    <w:p w14:paraId="4290374C" w14:textId="1737E50A" w:rsidR="00C47D55" w:rsidRPr="00C47D55" w:rsidRDefault="00173465" w:rsidP="00173465">
      <w:pPr>
        <w:rPr>
          <w:rFonts w:asciiTheme="majorHAnsi" w:hAnsiTheme="majorHAnsi" w:cstheme="majorHAnsi"/>
          <w:sz w:val="24"/>
          <w:szCs w:val="24"/>
        </w:rPr>
      </w:pPr>
      <w:r w:rsidRPr="00173465">
        <w:rPr>
          <w:rFonts w:asciiTheme="majorHAnsi" w:hAnsiTheme="majorHAnsi" w:cstheme="majorHAnsi"/>
          <w:sz w:val="24"/>
          <w:szCs w:val="24"/>
        </w:rPr>
        <w:t>Hands-on Experiences: Outdoor, creative, and practical activities in EYFS lay the foundations for KS1 experiments, gardening, cooking, and construction projects.</w:t>
      </w:r>
    </w:p>
    <w:sectPr w:rsidR="00C47D55" w:rsidRPr="00C47D55" w:rsidSect="00666ECE">
      <w:pgSz w:w="12240" w:h="15840"/>
      <w:pgMar w:top="426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16071"/>
    <w:multiLevelType w:val="multilevel"/>
    <w:tmpl w:val="1B6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D4561"/>
    <w:multiLevelType w:val="multilevel"/>
    <w:tmpl w:val="B89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3FF"/>
    <w:rsid w:val="00034616"/>
    <w:rsid w:val="0006063C"/>
    <w:rsid w:val="0015074B"/>
    <w:rsid w:val="00173465"/>
    <w:rsid w:val="0018020A"/>
    <w:rsid w:val="002423F0"/>
    <w:rsid w:val="0029639D"/>
    <w:rsid w:val="002F6672"/>
    <w:rsid w:val="0031784F"/>
    <w:rsid w:val="00326F90"/>
    <w:rsid w:val="005E0CD5"/>
    <w:rsid w:val="00666ECE"/>
    <w:rsid w:val="00941C74"/>
    <w:rsid w:val="0096505E"/>
    <w:rsid w:val="009673B4"/>
    <w:rsid w:val="00AA1D8D"/>
    <w:rsid w:val="00B47730"/>
    <w:rsid w:val="00BE1E1B"/>
    <w:rsid w:val="00BF469F"/>
    <w:rsid w:val="00C47D55"/>
    <w:rsid w:val="00CB0664"/>
    <w:rsid w:val="00D7129A"/>
    <w:rsid w:val="00D86621"/>
    <w:rsid w:val="00ED13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8896C"/>
  <w14:defaultImageDpi w14:val="300"/>
  <w15:docId w15:val="{72A329EF-8C69-469D-87DA-6483D1D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6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F62D9-D1AF-4493-9A92-EC107BCC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Chambers</cp:lastModifiedBy>
  <cp:revision>2</cp:revision>
  <dcterms:created xsi:type="dcterms:W3CDTF">2025-12-16T14:33:00Z</dcterms:created>
  <dcterms:modified xsi:type="dcterms:W3CDTF">2025-12-16T14:33:00Z</dcterms:modified>
  <cp:category/>
</cp:coreProperties>
</file>