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5B89" w14:textId="23B073BC" w:rsidR="0046599D" w:rsidRPr="0046599D" w:rsidRDefault="0046599D" w:rsidP="0046599D">
      <w:pPr>
        <w:pStyle w:val="1bodycopy10pt"/>
        <w:jc w:val="center"/>
        <w:rPr>
          <w:rFonts w:ascii="Century Gothic" w:hAnsi="Century Gothic"/>
          <w:b/>
          <w:bCs/>
          <w:sz w:val="32"/>
          <w:szCs w:val="36"/>
        </w:rPr>
      </w:pPr>
      <w:r w:rsidRPr="0046599D">
        <w:rPr>
          <w:rFonts w:ascii="Century Gothic" w:hAnsi="Century Gothic"/>
          <w:b/>
          <w:bCs/>
          <w:sz w:val="32"/>
          <w:szCs w:val="36"/>
        </w:rPr>
        <w:t>Hadrian School IT and E-Safety Policy</w:t>
      </w:r>
    </w:p>
    <w:p w14:paraId="43FBEC5E" w14:textId="44D5DA8D" w:rsidR="00FB08B1" w:rsidRPr="0046599D" w:rsidRDefault="0046599D" w:rsidP="0046599D">
      <w:pPr>
        <w:jc w:val="center"/>
        <w:rPr>
          <w:rFonts w:ascii="Century Gothic" w:hAnsi="Century Gothic"/>
          <w:b/>
          <w:bCs/>
          <w:sz w:val="24"/>
          <w:szCs w:val="24"/>
        </w:rPr>
      </w:pPr>
      <w:r w:rsidRPr="0046599D">
        <w:rPr>
          <w:rFonts w:ascii="Century Gothic" w:hAnsi="Century Gothic"/>
          <w:b/>
          <w:bCs/>
          <w:sz w:val="24"/>
          <w:szCs w:val="24"/>
        </w:rPr>
        <w:t>Dave Robinson – IT Curriculum</w:t>
      </w:r>
      <w:r w:rsidR="00293DEC">
        <w:rPr>
          <w:rFonts w:ascii="Century Gothic" w:hAnsi="Century Gothic"/>
          <w:b/>
          <w:bCs/>
          <w:sz w:val="24"/>
          <w:szCs w:val="24"/>
        </w:rPr>
        <w:t xml:space="preserve"> and E-Safety</w:t>
      </w:r>
      <w:r w:rsidRPr="0046599D">
        <w:rPr>
          <w:rFonts w:ascii="Century Gothic" w:hAnsi="Century Gothic"/>
          <w:b/>
          <w:bCs/>
          <w:sz w:val="24"/>
          <w:szCs w:val="24"/>
        </w:rPr>
        <w:t xml:space="preserve"> Lead</w:t>
      </w:r>
      <w:r w:rsidRPr="0046599D">
        <w:rPr>
          <w:rFonts w:ascii="Century Gothic" w:hAnsi="Century Gothic"/>
          <w:b/>
          <w:bCs/>
          <w:sz w:val="24"/>
          <w:szCs w:val="24"/>
        </w:rPr>
        <w:br/>
        <w:t>February 2026</w:t>
      </w:r>
    </w:p>
    <w:p w14:paraId="45220368" w14:textId="15219272" w:rsidR="00DB36B4" w:rsidRPr="0046599D" w:rsidRDefault="0046599D" w:rsidP="00293DEC">
      <w:pPr>
        <w:jc w:val="both"/>
        <w:rPr>
          <w:rFonts w:ascii="Century Gothic" w:hAnsi="Century Gothic"/>
          <w:b/>
          <w:bCs/>
          <w:sz w:val="26"/>
          <w:szCs w:val="26"/>
        </w:rPr>
      </w:pPr>
      <w:r w:rsidRPr="0046599D">
        <w:rPr>
          <w:rFonts w:ascii="Century Gothic" w:hAnsi="Century Gothic"/>
          <w:b/>
          <w:bCs/>
          <w:sz w:val="26"/>
          <w:szCs w:val="26"/>
        </w:rPr>
        <w:t>1. Aims</w:t>
      </w:r>
    </w:p>
    <w:p w14:paraId="65E5987E" w14:textId="4C8FB204" w:rsidR="001C5ACE" w:rsidRPr="0046599D" w:rsidRDefault="001C5ACE" w:rsidP="00293DEC">
      <w:pPr>
        <w:pStyle w:val="Subhead2"/>
        <w:spacing w:line="276" w:lineRule="auto"/>
        <w:jc w:val="both"/>
        <w:rPr>
          <w:rFonts w:ascii="Century Gothic" w:hAnsi="Century Gothic"/>
          <w:b w:val="0"/>
          <w:color w:val="auto"/>
          <w:sz w:val="18"/>
          <w:szCs w:val="18"/>
          <w:lang w:val="en-GB"/>
        </w:rPr>
      </w:pPr>
      <w:r w:rsidRPr="0046599D">
        <w:rPr>
          <w:rFonts w:ascii="Century Gothic" w:hAnsi="Century Gothic"/>
          <w:b w:val="0"/>
          <w:color w:val="auto"/>
          <w:sz w:val="18"/>
          <w:szCs w:val="18"/>
          <w:lang w:val="en-GB"/>
        </w:rPr>
        <w:t xml:space="preserve">Hadrian School aims to:  </w:t>
      </w:r>
    </w:p>
    <w:p w14:paraId="34181482" w14:textId="77777777" w:rsidR="001C5ACE" w:rsidRPr="0046599D" w:rsidRDefault="001C5ACE" w:rsidP="00293DEC">
      <w:pPr>
        <w:pStyle w:val="4Bulletedcopyblue"/>
        <w:numPr>
          <w:ilvl w:val="0"/>
          <w:numId w:val="10"/>
        </w:numPr>
        <w:spacing w:line="276" w:lineRule="auto"/>
        <w:jc w:val="both"/>
        <w:rPr>
          <w:rFonts w:ascii="Century Gothic" w:hAnsi="Century Gothic"/>
          <w:sz w:val="18"/>
          <w:szCs w:val="18"/>
          <w:lang w:val="en-GB"/>
        </w:rPr>
      </w:pPr>
      <w:r w:rsidRPr="0046599D">
        <w:rPr>
          <w:rFonts w:ascii="Century Gothic" w:hAnsi="Century Gothic"/>
          <w:sz w:val="18"/>
          <w:szCs w:val="18"/>
          <w:lang w:val="en-GB"/>
        </w:rPr>
        <w:t>Have robust processes in place to ensure the online safety of pupils, staff, volunteers and governors</w:t>
      </w:r>
    </w:p>
    <w:p w14:paraId="59605225" w14:textId="77777777" w:rsidR="001C5ACE" w:rsidRPr="0046599D" w:rsidRDefault="001C5ACE" w:rsidP="00293DEC">
      <w:pPr>
        <w:pStyle w:val="4Bulletedcopyblue"/>
        <w:numPr>
          <w:ilvl w:val="0"/>
          <w:numId w:val="10"/>
        </w:numPr>
        <w:spacing w:line="276" w:lineRule="auto"/>
        <w:jc w:val="both"/>
        <w:rPr>
          <w:rFonts w:ascii="Century Gothic" w:hAnsi="Century Gothic"/>
          <w:sz w:val="18"/>
          <w:szCs w:val="18"/>
          <w:lang w:val="en-GB"/>
        </w:rPr>
      </w:pPr>
      <w:r w:rsidRPr="0046599D">
        <w:rPr>
          <w:rFonts w:ascii="Century Gothic" w:hAnsi="Century Gothic"/>
          <w:sz w:val="18"/>
          <w:szCs w:val="18"/>
          <w:lang w:val="en-GB"/>
        </w:rPr>
        <w:t>Deliver an effective approach to online safety, which empowers us to protect and educate the whole school community in its use of technology</w:t>
      </w:r>
    </w:p>
    <w:p w14:paraId="5F3C2EAE" w14:textId="77777777" w:rsidR="001C5ACE" w:rsidRPr="0046599D" w:rsidRDefault="001C5ACE" w:rsidP="00293DEC">
      <w:pPr>
        <w:pStyle w:val="4Bulletedcopyblue"/>
        <w:numPr>
          <w:ilvl w:val="0"/>
          <w:numId w:val="10"/>
        </w:numPr>
        <w:spacing w:line="276" w:lineRule="auto"/>
        <w:jc w:val="both"/>
        <w:rPr>
          <w:rFonts w:ascii="Century Gothic" w:hAnsi="Century Gothic"/>
          <w:sz w:val="18"/>
          <w:szCs w:val="18"/>
          <w:lang w:val="en-GB"/>
        </w:rPr>
      </w:pPr>
      <w:r w:rsidRPr="0046599D">
        <w:rPr>
          <w:rFonts w:ascii="Century Gothic" w:hAnsi="Century Gothic"/>
          <w:sz w:val="18"/>
          <w:szCs w:val="18"/>
          <w:lang w:val="en-GB"/>
        </w:rPr>
        <w:t>Establish clear mechanisms to identify, intervene and escalate an incident, where appropriate</w:t>
      </w:r>
    </w:p>
    <w:p w14:paraId="27F27FFD" w14:textId="77777777" w:rsidR="00FB08B1" w:rsidRDefault="001C5ACE" w:rsidP="00293DEC">
      <w:pPr>
        <w:pStyle w:val="4Bulletedcopyblue"/>
        <w:numPr>
          <w:ilvl w:val="0"/>
          <w:numId w:val="10"/>
        </w:numPr>
        <w:spacing w:line="276" w:lineRule="auto"/>
        <w:jc w:val="both"/>
        <w:rPr>
          <w:rFonts w:ascii="Century Gothic" w:hAnsi="Century Gothic"/>
          <w:sz w:val="18"/>
          <w:szCs w:val="18"/>
          <w:lang w:val="en-GB"/>
        </w:rPr>
      </w:pPr>
      <w:r w:rsidRPr="0046599D">
        <w:rPr>
          <w:rFonts w:ascii="Century Gothic" w:hAnsi="Century Gothic"/>
          <w:sz w:val="18"/>
          <w:szCs w:val="18"/>
          <w:lang w:val="en-GB"/>
        </w:rPr>
        <w:t>Identify and support groups of pupils that are potentially at greater risk of harm online than others</w:t>
      </w:r>
    </w:p>
    <w:p w14:paraId="50FB97BC" w14:textId="03CD831C" w:rsidR="00CF4888" w:rsidRDefault="00CF4888" w:rsidP="00293DEC">
      <w:pPr>
        <w:pStyle w:val="4Bulletedcopyblue"/>
        <w:numPr>
          <w:ilvl w:val="0"/>
          <w:numId w:val="10"/>
        </w:numPr>
        <w:spacing w:line="276" w:lineRule="auto"/>
        <w:jc w:val="both"/>
        <w:rPr>
          <w:rFonts w:ascii="Century Gothic" w:hAnsi="Century Gothic"/>
          <w:sz w:val="18"/>
          <w:szCs w:val="18"/>
          <w:lang w:val="en-GB"/>
        </w:rPr>
      </w:pPr>
      <w:r>
        <w:rPr>
          <w:rFonts w:ascii="Century Gothic" w:hAnsi="Century Gothic"/>
          <w:sz w:val="18"/>
          <w:szCs w:val="18"/>
          <w:lang w:val="en-GB"/>
        </w:rPr>
        <w:t xml:space="preserve">Offer an </w:t>
      </w:r>
      <w:r w:rsidRPr="00CF4888">
        <w:rPr>
          <w:rFonts w:ascii="Century Gothic" w:hAnsi="Century Gothic"/>
          <w:sz w:val="18"/>
          <w:szCs w:val="18"/>
          <w:lang w:val="en-GB"/>
        </w:rPr>
        <w:t>IT curriculum</w:t>
      </w:r>
      <w:r>
        <w:rPr>
          <w:rFonts w:ascii="Century Gothic" w:hAnsi="Century Gothic"/>
          <w:sz w:val="18"/>
          <w:szCs w:val="18"/>
          <w:lang w:val="en-GB"/>
        </w:rPr>
        <w:t xml:space="preserve"> which</w:t>
      </w:r>
      <w:r w:rsidRPr="00CF4888">
        <w:rPr>
          <w:rFonts w:ascii="Century Gothic" w:hAnsi="Century Gothic"/>
          <w:sz w:val="18"/>
          <w:szCs w:val="18"/>
          <w:lang w:val="en-GB"/>
        </w:rPr>
        <w:t xml:space="preserve"> provides an engaging, accessible and </w:t>
      </w:r>
      <w:r>
        <w:rPr>
          <w:rFonts w:ascii="Century Gothic" w:hAnsi="Century Gothic"/>
          <w:sz w:val="18"/>
          <w:szCs w:val="18"/>
          <w:lang w:val="en-GB"/>
        </w:rPr>
        <w:t xml:space="preserve">functional use of IT with a focus on pupil’s preparation for life.  </w:t>
      </w:r>
    </w:p>
    <w:p w14:paraId="1AE6428F" w14:textId="77777777" w:rsidR="00FB08B1" w:rsidRPr="0046599D" w:rsidRDefault="00FB08B1" w:rsidP="00293DEC">
      <w:pPr>
        <w:pStyle w:val="4Bulletedcopyblue"/>
        <w:spacing w:line="276" w:lineRule="auto"/>
        <w:jc w:val="both"/>
        <w:rPr>
          <w:rFonts w:ascii="Century Gothic" w:hAnsi="Century Gothic"/>
          <w:sz w:val="18"/>
          <w:szCs w:val="18"/>
          <w:lang w:val="en-GB"/>
        </w:rPr>
      </w:pPr>
    </w:p>
    <w:p w14:paraId="7639486D" w14:textId="7D009879" w:rsidR="00DB36B4" w:rsidRPr="0046599D" w:rsidRDefault="0046599D" w:rsidP="00293DEC">
      <w:pPr>
        <w:pStyle w:val="4Bulletedcopyblue"/>
        <w:spacing w:line="276" w:lineRule="auto"/>
        <w:jc w:val="both"/>
        <w:rPr>
          <w:rFonts w:ascii="Century Gothic" w:hAnsi="Century Gothic"/>
          <w:b/>
          <w:bCs/>
          <w:sz w:val="26"/>
          <w:szCs w:val="26"/>
          <w:lang w:val="en-GB"/>
        </w:rPr>
      </w:pPr>
      <w:r w:rsidRPr="0046599D">
        <w:rPr>
          <w:rFonts w:ascii="Century Gothic" w:hAnsi="Century Gothic"/>
          <w:b/>
          <w:bCs/>
          <w:sz w:val="26"/>
          <w:szCs w:val="26"/>
        </w:rPr>
        <w:t>2. Legislation and Guidance</w:t>
      </w:r>
    </w:p>
    <w:p w14:paraId="316B35A8" w14:textId="3AAA7807" w:rsidR="001C5ACE" w:rsidRPr="0046599D" w:rsidRDefault="001C5ACE" w:rsidP="00293DEC">
      <w:pPr>
        <w:jc w:val="both"/>
        <w:rPr>
          <w:rFonts w:ascii="Century Gothic" w:hAnsi="Century Gothic"/>
          <w:sz w:val="18"/>
          <w:szCs w:val="18"/>
          <w:lang w:eastAsia="en-GB"/>
        </w:rPr>
      </w:pPr>
      <w:r w:rsidRPr="0046599D">
        <w:rPr>
          <w:rFonts w:ascii="Century Gothic" w:hAnsi="Century Gothic"/>
          <w:sz w:val="18"/>
          <w:szCs w:val="18"/>
          <w:lang w:eastAsia="en-GB"/>
        </w:rPr>
        <w:t xml:space="preserve">This policy is based on the Department for Education’s (DfE’s) statutory safeguarding guidance, </w:t>
      </w:r>
      <w:hyperlink r:id="rId8" w:history="1">
        <w:r w:rsidRPr="003F699D">
          <w:rPr>
            <w:rStyle w:val="Hyperlink"/>
            <w:rFonts w:ascii="Century Gothic" w:hAnsi="Century Gothic"/>
            <w:color w:val="auto"/>
            <w:sz w:val="18"/>
            <w:szCs w:val="18"/>
          </w:rPr>
          <w:t>Keeping Children Safe in Education</w:t>
        </w:r>
      </w:hyperlink>
      <w:r w:rsidR="00BF74EA" w:rsidRPr="003F699D">
        <w:rPr>
          <w:rFonts w:ascii="Century Gothic" w:hAnsi="Century Gothic"/>
          <w:sz w:val="18"/>
          <w:szCs w:val="18"/>
          <w:u w:val="single"/>
        </w:rPr>
        <w:t xml:space="preserve"> 2025</w:t>
      </w:r>
      <w:r w:rsidRPr="00BF74EA">
        <w:rPr>
          <w:rFonts w:ascii="Century Gothic" w:hAnsi="Century Gothic"/>
          <w:sz w:val="18"/>
          <w:szCs w:val="18"/>
          <w:lang w:eastAsia="en-GB"/>
        </w:rPr>
        <w:t>, and</w:t>
      </w:r>
      <w:r w:rsidRPr="0046599D">
        <w:rPr>
          <w:rFonts w:ascii="Century Gothic" w:hAnsi="Century Gothic"/>
          <w:sz w:val="18"/>
          <w:szCs w:val="18"/>
          <w:lang w:eastAsia="en-GB"/>
        </w:rPr>
        <w:t xml:space="preserve"> its advice for schools on:</w:t>
      </w:r>
    </w:p>
    <w:p w14:paraId="78F64D1D" w14:textId="67B9BB05" w:rsidR="001C5ACE" w:rsidRPr="004C4692" w:rsidRDefault="001C5ACE" w:rsidP="00293DEC">
      <w:pPr>
        <w:pStyle w:val="4Bulletedcopyblue"/>
        <w:numPr>
          <w:ilvl w:val="0"/>
          <w:numId w:val="11"/>
        </w:numPr>
        <w:spacing w:line="276" w:lineRule="auto"/>
        <w:jc w:val="both"/>
        <w:rPr>
          <w:rStyle w:val="Hyperlink"/>
          <w:rFonts w:ascii="Century Gothic" w:hAnsi="Century Gothic"/>
          <w:color w:val="auto"/>
          <w:sz w:val="18"/>
          <w:szCs w:val="18"/>
        </w:rPr>
      </w:pPr>
      <w:hyperlink r:id="rId9" w:history="1">
        <w:r w:rsidRPr="004C4692">
          <w:rPr>
            <w:rStyle w:val="Hyperlink"/>
            <w:rFonts w:ascii="Century Gothic" w:hAnsi="Century Gothic"/>
            <w:color w:val="auto"/>
            <w:sz w:val="18"/>
            <w:szCs w:val="18"/>
            <w:lang w:val="en-GB" w:eastAsia="en-GB"/>
          </w:rPr>
          <w:t>Teaching online safety in schools</w:t>
        </w:r>
      </w:hyperlink>
      <w:r w:rsidR="00BF74EA" w:rsidRPr="004C4692">
        <w:rPr>
          <w:rFonts w:ascii="Century Gothic" w:hAnsi="Century Gothic"/>
          <w:sz w:val="18"/>
          <w:szCs w:val="18"/>
          <w:u w:val="single"/>
        </w:rPr>
        <w:t xml:space="preserve"> 2023</w:t>
      </w:r>
    </w:p>
    <w:p w14:paraId="1BF93EA2" w14:textId="0F91EF26" w:rsidR="001C5ACE" w:rsidRPr="0046599D" w:rsidRDefault="001C5ACE" w:rsidP="00293DEC">
      <w:pPr>
        <w:pStyle w:val="4Bulletedcopyblue"/>
        <w:numPr>
          <w:ilvl w:val="0"/>
          <w:numId w:val="11"/>
        </w:numPr>
        <w:spacing w:line="276" w:lineRule="auto"/>
        <w:jc w:val="both"/>
        <w:rPr>
          <w:rStyle w:val="Hyperlink"/>
          <w:rFonts w:ascii="Century Gothic" w:hAnsi="Century Gothic"/>
          <w:color w:val="auto"/>
          <w:sz w:val="18"/>
          <w:szCs w:val="18"/>
          <w:lang w:val="en-GB" w:eastAsia="en-GB"/>
        </w:rPr>
      </w:pPr>
      <w:hyperlink r:id="rId10" w:history="1">
        <w:r w:rsidRPr="004C4692">
          <w:rPr>
            <w:rStyle w:val="Hyperlink"/>
            <w:rFonts w:ascii="Century Gothic" w:hAnsi="Century Gothic"/>
            <w:color w:val="auto"/>
            <w:sz w:val="18"/>
            <w:szCs w:val="18"/>
            <w:lang w:val="en-GB"/>
          </w:rPr>
          <w:t>Preventing and tackling bullying</w:t>
        </w:r>
      </w:hyperlink>
      <w:r w:rsidR="00BF74EA" w:rsidRPr="004C4692">
        <w:rPr>
          <w:rFonts w:ascii="Century Gothic" w:hAnsi="Century Gothic"/>
          <w:sz w:val="18"/>
          <w:szCs w:val="18"/>
          <w:u w:val="single"/>
        </w:rPr>
        <w:t xml:space="preserve"> 2017</w:t>
      </w:r>
      <w:r w:rsidRPr="004C4692">
        <w:rPr>
          <w:rFonts w:ascii="Century Gothic" w:hAnsi="Century Gothic"/>
          <w:sz w:val="16"/>
          <w:szCs w:val="16"/>
          <w:lang w:val="en-GB" w:eastAsia="en-GB"/>
        </w:rPr>
        <w:t xml:space="preserve"> </w:t>
      </w:r>
      <w:r w:rsidRPr="0046599D">
        <w:rPr>
          <w:rFonts w:ascii="Century Gothic" w:hAnsi="Century Gothic"/>
          <w:sz w:val="18"/>
          <w:szCs w:val="18"/>
          <w:lang w:val="en-GB" w:eastAsia="en-GB"/>
        </w:rPr>
        <w:t xml:space="preserve">and </w:t>
      </w:r>
      <w:hyperlink r:id="rId11" w:history="1">
        <w:r w:rsidRPr="004C4692">
          <w:rPr>
            <w:rStyle w:val="Hyperlink"/>
            <w:rFonts w:ascii="Century Gothic" w:hAnsi="Century Gothic"/>
            <w:color w:val="auto"/>
            <w:sz w:val="18"/>
            <w:szCs w:val="18"/>
            <w:lang w:val="en-GB" w:eastAsia="en-GB"/>
          </w:rPr>
          <w:t>cyber-bullying: advice for Head Teachers and school staff</w:t>
        </w:r>
      </w:hyperlink>
      <w:r w:rsidR="00BF74EA" w:rsidRPr="004C4692">
        <w:rPr>
          <w:rFonts w:ascii="Century Gothic" w:hAnsi="Century Gothic"/>
          <w:sz w:val="18"/>
          <w:szCs w:val="18"/>
          <w:u w:val="single"/>
        </w:rPr>
        <w:t xml:space="preserve"> 2017</w:t>
      </w:r>
    </w:p>
    <w:p w14:paraId="43E4924F" w14:textId="194287C3" w:rsidR="001C5ACE" w:rsidRPr="004C4692" w:rsidRDefault="001C5ACE" w:rsidP="00293DEC">
      <w:pPr>
        <w:pStyle w:val="4Bulletedcopyblue"/>
        <w:numPr>
          <w:ilvl w:val="0"/>
          <w:numId w:val="11"/>
        </w:numPr>
        <w:spacing w:line="276" w:lineRule="auto"/>
        <w:jc w:val="both"/>
        <w:rPr>
          <w:rFonts w:ascii="Century Gothic" w:hAnsi="Century Gothic"/>
          <w:sz w:val="18"/>
          <w:szCs w:val="18"/>
          <w:u w:val="single"/>
        </w:rPr>
      </w:pPr>
      <w:hyperlink r:id="rId12" w:history="1">
        <w:r w:rsidRPr="004C4692">
          <w:rPr>
            <w:rStyle w:val="Hyperlink"/>
            <w:rFonts w:ascii="Century Gothic" w:hAnsi="Century Gothic"/>
            <w:color w:val="auto"/>
            <w:sz w:val="18"/>
            <w:szCs w:val="18"/>
            <w:lang w:val="en-GB" w:eastAsia="en-GB"/>
          </w:rPr>
          <w:t>Relationships and sex education</w:t>
        </w:r>
      </w:hyperlink>
      <w:r w:rsidRPr="004C4692">
        <w:rPr>
          <w:rFonts w:ascii="Century Gothic" w:hAnsi="Century Gothic"/>
          <w:sz w:val="18"/>
          <w:szCs w:val="18"/>
          <w:u w:val="single"/>
          <w:lang w:val="en-GB" w:eastAsia="en-GB"/>
        </w:rPr>
        <w:t xml:space="preserve"> </w:t>
      </w:r>
      <w:r w:rsidR="00BF74EA" w:rsidRPr="004C4692">
        <w:rPr>
          <w:rFonts w:ascii="Century Gothic" w:hAnsi="Century Gothic"/>
          <w:sz w:val="18"/>
          <w:szCs w:val="18"/>
          <w:u w:val="single"/>
          <w:lang w:val="en-GB" w:eastAsia="en-GB"/>
        </w:rPr>
        <w:t>2025</w:t>
      </w:r>
    </w:p>
    <w:p w14:paraId="32CDC926" w14:textId="1AF438A4" w:rsidR="001C5ACE" w:rsidRPr="004C4692" w:rsidRDefault="001C5ACE" w:rsidP="00293DEC">
      <w:pPr>
        <w:pStyle w:val="4Bulletedcopyblue"/>
        <w:numPr>
          <w:ilvl w:val="0"/>
          <w:numId w:val="11"/>
        </w:numPr>
        <w:spacing w:line="276" w:lineRule="auto"/>
        <w:jc w:val="both"/>
        <w:rPr>
          <w:rFonts w:ascii="Century Gothic" w:hAnsi="Century Gothic"/>
          <w:sz w:val="18"/>
          <w:szCs w:val="18"/>
          <w:u w:val="single"/>
          <w:lang w:val="en-GB" w:eastAsia="en-GB"/>
        </w:rPr>
      </w:pPr>
      <w:hyperlink r:id="rId13" w:history="1">
        <w:r w:rsidRPr="004C4692">
          <w:rPr>
            <w:rStyle w:val="Hyperlink"/>
            <w:rFonts w:ascii="Century Gothic" w:hAnsi="Century Gothic"/>
            <w:color w:val="auto"/>
            <w:sz w:val="18"/>
            <w:szCs w:val="18"/>
            <w:lang w:val="en-GB" w:eastAsia="en-GB"/>
          </w:rPr>
          <w:t>Searching, screening and confiscation</w:t>
        </w:r>
      </w:hyperlink>
      <w:r w:rsidR="00BF74EA" w:rsidRPr="004C4692">
        <w:rPr>
          <w:rFonts w:ascii="Century Gothic" w:hAnsi="Century Gothic"/>
          <w:sz w:val="18"/>
          <w:szCs w:val="18"/>
          <w:u w:val="single"/>
        </w:rPr>
        <w:t xml:space="preserve"> 2023</w:t>
      </w:r>
    </w:p>
    <w:p w14:paraId="2EE6141E" w14:textId="625FFFF5" w:rsidR="001C5ACE" w:rsidRPr="0046599D" w:rsidRDefault="001C5ACE" w:rsidP="00293DEC">
      <w:pPr>
        <w:pStyle w:val="1bodycopy10pt"/>
        <w:spacing w:line="276" w:lineRule="auto"/>
        <w:jc w:val="both"/>
        <w:rPr>
          <w:rFonts w:ascii="Century Gothic" w:hAnsi="Century Gothic"/>
          <w:sz w:val="18"/>
          <w:szCs w:val="18"/>
          <w:lang w:val="en-GB" w:eastAsia="en-GB"/>
        </w:rPr>
      </w:pPr>
      <w:r w:rsidRPr="0046599D">
        <w:rPr>
          <w:rFonts w:ascii="Century Gothic" w:hAnsi="Century Gothic"/>
          <w:sz w:val="18"/>
          <w:szCs w:val="18"/>
          <w:lang w:val="en-GB" w:eastAsia="en-GB"/>
        </w:rPr>
        <w:t xml:space="preserve">It also refers to the DfE’s guidance on </w:t>
      </w:r>
      <w:hyperlink r:id="rId14" w:history="1">
        <w:r w:rsidRPr="004C4692">
          <w:rPr>
            <w:rStyle w:val="Hyperlink"/>
            <w:rFonts w:ascii="Century Gothic" w:hAnsi="Century Gothic"/>
            <w:color w:val="auto"/>
            <w:sz w:val="18"/>
            <w:szCs w:val="18"/>
            <w:lang w:val="en-GB" w:eastAsia="en-GB"/>
          </w:rPr>
          <w:t>protecting children from radicalisation</w:t>
        </w:r>
      </w:hyperlink>
      <w:r w:rsidR="004C4692" w:rsidRPr="004C4692">
        <w:rPr>
          <w:rFonts w:ascii="Century Gothic" w:hAnsi="Century Gothic"/>
          <w:sz w:val="18"/>
          <w:szCs w:val="18"/>
          <w:u w:val="single"/>
        </w:rPr>
        <w:t xml:space="preserve"> 2023</w:t>
      </w:r>
      <w:r w:rsidRPr="004C4692">
        <w:rPr>
          <w:rFonts w:ascii="Century Gothic" w:hAnsi="Century Gothic"/>
          <w:sz w:val="18"/>
          <w:szCs w:val="18"/>
          <w:u w:val="single"/>
          <w:lang w:val="en-GB" w:eastAsia="en-GB"/>
        </w:rPr>
        <w:t>.</w:t>
      </w:r>
    </w:p>
    <w:p w14:paraId="00015689" w14:textId="77777777" w:rsidR="00FB08B1" w:rsidRPr="0046599D" w:rsidRDefault="001C5ACE" w:rsidP="00293DEC">
      <w:pPr>
        <w:pStyle w:val="1bodycopy10pt"/>
        <w:spacing w:line="276" w:lineRule="auto"/>
        <w:jc w:val="both"/>
        <w:rPr>
          <w:rFonts w:ascii="Century Gothic" w:hAnsi="Century Gothic"/>
          <w:sz w:val="18"/>
          <w:szCs w:val="18"/>
          <w:lang w:eastAsia="en-GB"/>
        </w:rPr>
      </w:pPr>
      <w:r w:rsidRPr="0046599D">
        <w:rPr>
          <w:rFonts w:ascii="Century Gothic" w:hAnsi="Century Gothic"/>
          <w:sz w:val="18"/>
          <w:szCs w:val="18"/>
          <w:lang w:eastAsia="en-GB"/>
        </w:rPr>
        <w:t xml:space="preserve">It reflects existing legislation, including but not limited to the </w:t>
      </w:r>
      <w:hyperlink r:id="rId15" w:history="1">
        <w:r w:rsidRPr="0046599D">
          <w:rPr>
            <w:rStyle w:val="Hyperlink"/>
            <w:rFonts w:ascii="Century Gothic" w:hAnsi="Century Gothic"/>
            <w:color w:val="auto"/>
            <w:sz w:val="18"/>
            <w:szCs w:val="18"/>
          </w:rPr>
          <w:t>Education Act 1996</w:t>
        </w:r>
      </w:hyperlink>
      <w:r w:rsidRPr="0046599D">
        <w:rPr>
          <w:rFonts w:ascii="Century Gothic" w:hAnsi="Century Gothic"/>
          <w:sz w:val="18"/>
          <w:szCs w:val="18"/>
          <w:lang w:eastAsia="en-GB"/>
        </w:rPr>
        <w:t xml:space="preserve"> (as amended), the </w:t>
      </w:r>
      <w:hyperlink r:id="rId16" w:history="1">
        <w:r w:rsidRPr="0046599D">
          <w:rPr>
            <w:rStyle w:val="Hyperlink"/>
            <w:rFonts w:ascii="Century Gothic" w:hAnsi="Century Gothic"/>
            <w:color w:val="auto"/>
            <w:sz w:val="18"/>
            <w:szCs w:val="18"/>
          </w:rPr>
          <w:t>Education and Inspections Act 2006</w:t>
        </w:r>
      </w:hyperlink>
      <w:r w:rsidRPr="0046599D">
        <w:rPr>
          <w:rFonts w:ascii="Century Gothic" w:hAnsi="Century Gothic"/>
          <w:sz w:val="18"/>
          <w:szCs w:val="18"/>
          <w:lang w:eastAsia="en-GB"/>
        </w:rPr>
        <w:t xml:space="preserve"> and the </w:t>
      </w:r>
      <w:hyperlink r:id="rId17" w:history="1">
        <w:r w:rsidRPr="0046599D">
          <w:rPr>
            <w:rStyle w:val="Hyperlink"/>
            <w:rFonts w:ascii="Century Gothic" w:hAnsi="Century Gothic"/>
            <w:color w:val="auto"/>
            <w:sz w:val="18"/>
            <w:szCs w:val="18"/>
          </w:rPr>
          <w:t>Equality Act 2010</w:t>
        </w:r>
      </w:hyperlink>
      <w:r w:rsidRPr="0046599D">
        <w:rPr>
          <w:rFonts w:ascii="Century Gothic" w:hAnsi="Century Gothic"/>
          <w:sz w:val="18"/>
          <w:szCs w:val="18"/>
          <w:lang w:eastAsia="en-GB"/>
        </w:rPr>
        <w:t xml:space="preserve">. In addition, it reflects the </w:t>
      </w:r>
      <w:hyperlink r:id="rId18" w:history="1">
        <w:r w:rsidRPr="0046599D">
          <w:rPr>
            <w:rStyle w:val="Hyperlink"/>
            <w:rFonts w:ascii="Century Gothic" w:hAnsi="Century Gothic"/>
            <w:color w:val="auto"/>
            <w:sz w:val="18"/>
            <w:szCs w:val="18"/>
          </w:rPr>
          <w:t>Education Act 2011</w:t>
        </w:r>
      </w:hyperlink>
      <w:r w:rsidRPr="0046599D">
        <w:rPr>
          <w:rFonts w:ascii="Century Gothic" w:hAnsi="Century Gothic"/>
          <w:sz w:val="18"/>
          <w:szCs w:val="18"/>
          <w:lang w:eastAsia="en-GB"/>
        </w:rPr>
        <w:t xml:space="preserve">, which has given teachers stronger powers to tackle cyber-bullying </w:t>
      </w:r>
    </w:p>
    <w:p w14:paraId="09DD3570" w14:textId="77777777" w:rsidR="00FB08B1" w:rsidRPr="0046599D" w:rsidRDefault="00FB08B1" w:rsidP="00293DEC">
      <w:pPr>
        <w:pStyle w:val="1bodycopy10pt"/>
        <w:spacing w:line="276" w:lineRule="auto"/>
        <w:jc w:val="both"/>
        <w:rPr>
          <w:rFonts w:ascii="Century Gothic" w:hAnsi="Century Gothic"/>
          <w:sz w:val="18"/>
          <w:szCs w:val="18"/>
          <w:lang w:eastAsia="en-GB"/>
        </w:rPr>
      </w:pPr>
    </w:p>
    <w:p w14:paraId="7ED97684" w14:textId="4E6167F0" w:rsidR="00DB36B4" w:rsidRPr="0046599D" w:rsidRDefault="0046599D" w:rsidP="00293DEC">
      <w:pPr>
        <w:pStyle w:val="1bodycopy10pt"/>
        <w:spacing w:line="276" w:lineRule="auto"/>
        <w:jc w:val="both"/>
        <w:rPr>
          <w:rFonts w:ascii="Century Gothic" w:hAnsi="Century Gothic"/>
          <w:b/>
          <w:bCs/>
          <w:sz w:val="26"/>
          <w:szCs w:val="26"/>
          <w:lang w:val="en-GB" w:eastAsia="en-GB"/>
        </w:rPr>
      </w:pPr>
      <w:r w:rsidRPr="0046599D">
        <w:rPr>
          <w:rFonts w:ascii="Century Gothic" w:hAnsi="Century Gothic"/>
          <w:b/>
          <w:bCs/>
          <w:sz w:val="26"/>
          <w:szCs w:val="26"/>
        </w:rPr>
        <w:t>3. Roles and Responsibilities</w:t>
      </w:r>
    </w:p>
    <w:p w14:paraId="77A4B1EB" w14:textId="1C8785DD"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 xml:space="preserve">The Governing Body has responsibility for ensuring this policy is monitored, reviewed and implemented. Governors must ensure the school’s online safety arrangements are sufficiently robust and </w:t>
      </w:r>
      <w:r w:rsidR="00960A68" w:rsidRPr="0046599D">
        <w:rPr>
          <w:rFonts w:ascii="Century Gothic" w:hAnsi="Century Gothic"/>
          <w:sz w:val="18"/>
          <w:szCs w:val="18"/>
        </w:rPr>
        <w:t>appropriate for all.</w:t>
      </w:r>
    </w:p>
    <w:p w14:paraId="044A69E7" w14:textId="1E30A543"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 xml:space="preserve">The Head Teacher and Senior Leadership Team have overall responsibility for online safety. They must ensure staff understand procedures, training is up to date and that responses to allegations or incidents are </w:t>
      </w:r>
      <w:r w:rsidR="00960A68" w:rsidRPr="0046599D">
        <w:rPr>
          <w:rFonts w:ascii="Century Gothic" w:hAnsi="Century Gothic"/>
          <w:sz w:val="18"/>
          <w:szCs w:val="18"/>
        </w:rPr>
        <w:t>handled in accordance with existing school policies.</w:t>
      </w:r>
    </w:p>
    <w:p w14:paraId="35CD7B31" w14:textId="09F2C0CD"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lastRenderedPageBreak/>
        <w:t>The IT Lead coordinates day-to-day online safety practice, ensuring consistent implementation of this policy, overseeing filtering and monitoring systems, supporting staff, leading incident responses and liaising with external agencies where required.</w:t>
      </w:r>
      <w:r w:rsidR="00864B3A">
        <w:rPr>
          <w:rFonts w:ascii="Century Gothic" w:hAnsi="Century Gothic"/>
          <w:sz w:val="18"/>
          <w:szCs w:val="18"/>
        </w:rPr>
        <w:t xml:space="preserve"> The IT Lead </w:t>
      </w:r>
      <w:r w:rsidR="0052036D">
        <w:rPr>
          <w:rFonts w:ascii="Century Gothic" w:hAnsi="Century Gothic"/>
          <w:sz w:val="18"/>
          <w:szCs w:val="18"/>
        </w:rPr>
        <w:t xml:space="preserve">has responsibility for developing and implementing the Hadrian School IT curriculum. </w:t>
      </w:r>
    </w:p>
    <w:p w14:paraId="26FBCA17" w14:textId="5FB2831A"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 xml:space="preserve">Technical staff maintain secure networks, password systems, filtering controls, monitoring systems and virus protection. They monitor network usage and report concerns to </w:t>
      </w:r>
      <w:r w:rsidR="004E2CC2" w:rsidRPr="0046599D">
        <w:rPr>
          <w:rFonts w:ascii="Century Gothic" w:hAnsi="Century Gothic"/>
          <w:sz w:val="18"/>
          <w:szCs w:val="18"/>
        </w:rPr>
        <w:t>the IT Lead.</w:t>
      </w:r>
    </w:p>
    <w:p w14:paraId="24848C2E" w14:textId="0A528FC9"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 xml:space="preserve">Teaching and Support Staff must act as role models in safe and responsible use of technology. They must supervise digital activity, embed online safety throughout teaching, report concerns immediately and </w:t>
      </w:r>
      <w:r w:rsidR="004E2CC2" w:rsidRPr="0046599D">
        <w:rPr>
          <w:rFonts w:ascii="Century Gothic" w:hAnsi="Century Gothic"/>
          <w:sz w:val="18"/>
          <w:szCs w:val="18"/>
        </w:rPr>
        <w:t xml:space="preserve">where necessary, </w:t>
      </w:r>
      <w:r w:rsidRPr="0046599D">
        <w:rPr>
          <w:rFonts w:ascii="Century Gothic" w:hAnsi="Century Gothic"/>
          <w:sz w:val="18"/>
          <w:szCs w:val="18"/>
        </w:rPr>
        <w:t>guide pupils to appropriate online resources.</w:t>
      </w:r>
    </w:p>
    <w:p w14:paraId="0C02808E" w14:textId="7777777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Pupils are expected, where appropriate, to follow acceptable use expectations, report concerns and behave safely and responsibly online.</w:t>
      </w:r>
    </w:p>
    <w:p w14:paraId="78550E86" w14:textId="77777777" w:rsidR="00FB08B1" w:rsidRPr="0046599D" w:rsidRDefault="0046599D" w:rsidP="00293DEC">
      <w:pPr>
        <w:jc w:val="both"/>
        <w:rPr>
          <w:rFonts w:ascii="Century Gothic" w:hAnsi="Century Gothic"/>
          <w:sz w:val="18"/>
          <w:szCs w:val="18"/>
        </w:rPr>
      </w:pPr>
      <w:r w:rsidRPr="0046599D">
        <w:rPr>
          <w:rFonts w:ascii="Century Gothic" w:hAnsi="Century Gothic"/>
          <w:sz w:val="18"/>
          <w:szCs w:val="18"/>
        </w:rPr>
        <w:t>Parents and Carers must support safe behaviour at home, follow school guidance, avoid sharing school images online and work collaboratively with staff to reinforce online safety expectations</w:t>
      </w:r>
    </w:p>
    <w:p w14:paraId="46BB7685" w14:textId="3AD0D3AB" w:rsidR="00DB36B4" w:rsidRDefault="0046599D" w:rsidP="00293DEC">
      <w:pPr>
        <w:jc w:val="both"/>
        <w:rPr>
          <w:rFonts w:ascii="Century Gothic" w:hAnsi="Century Gothic"/>
          <w:b/>
          <w:bCs/>
          <w:sz w:val="26"/>
          <w:szCs w:val="26"/>
        </w:rPr>
      </w:pPr>
      <w:r w:rsidRPr="0046599D">
        <w:rPr>
          <w:rFonts w:ascii="Century Gothic" w:hAnsi="Century Gothic"/>
          <w:b/>
          <w:bCs/>
          <w:sz w:val="26"/>
          <w:szCs w:val="26"/>
        </w:rPr>
        <w:t>4. Education – Pupils</w:t>
      </w:r>
    </w:p>
    <w:p w14:paraId="33555E9E" w14:textId="0C31F6B2" w:rsidR="001F642D" w:rsidRPr="002837C9" w:rsidRDefault="001F642D" w:rsidP="00293DEC">
      <w:pPr>
        <w:jc w:val="both"/>
        <w:rPr>
          <w:rFonts w:ascii="Century Gothic" w:eastAsia="Times New Roman" w:hAnsi="Century Gothic" w:cs="Segoe UI"/>
          <w:sz w:val="18"/>
          <w:szCs w:val="18"/>
          <w:lang w:val="en-GB" w:eastAsia="en-GB"/>
        </w:rPr>
      </w:pPr>
      <w:r w:rsidRPr="0052036D">
        <w:rPr>
          <w:rFonts w:ascii="Century Gothic" w:eastAsia="Times New Roman" w:hAnsi="Century Gothic" w:cs="Segoe UI"/>
          <w:sz w:val="18"/>
          <w:szCs w:val="18"/>
          <w:lang w:val="en-GB" w:eastAsia="en-GB"/>
        </w:rPr>
        <w:t>The IT curriculum at Hadrian School is designed to provide a broad, ambitious, and engaging digital learning experience for all pupils across pathways, ensuring access to creativity, communication and functional digital skills. IT is delivered both as a discrete subject and across the wider curriculum. Pupils engage with a wide range of technologies—including laptops, iPads, VOCA devices, smartboards, accessible keyboards, digital cameras, and programmable devices—to develop skills in digital art, word processing, photography, video, publishing, basic programming, and information searching. Learning is adapted according to pathway (Explore &amp; Discover, Investigate &amp; Apply, Sensory &amp; Therapeutic), with opportunities for repetition and consolidation of key concepts built into the yearly cycle</w:t>
      </w:r>
      <w:r w:rsidR="002837C9">
        <w:rPr>
          <w:rFonts w:ascii="Century Gothic" w:eastAsia="Times New Roman" w:hAnsi="Century Gothic" w:cs="Segoe UI"/>
          <w:sz w:val="18"/>
          <w:szCs w:val="18"/>
          <w:lang w:val="en-GB" w:eastAsia="en-GB"/>
        </w:rPr>
        <w:t>.</w:t>
      </w:r>
    </w:p>
    <w:p w14:paraId="20BEB1FF" w14:textId="0231306F"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Online safety</w:t>
      </w:r>
      <w:r w:rsidR="00196AEC" w:rsidRPr="0046599D">
        <w:rPr>
          <w:rFonts w:ascii="Century Gothic" w:hAnsi="Century Gothic"/>
          <w:sz w:val="18"/>
          <w:szCs w:val="18"/>
        </w:rPr>
        <w:t xml:space="preserve"> advice</w:t>
      </w:r>
      <w:r w:rsidRPr="0046599D">
        <w:rPr>
          <w:rFonts w:ascii="Century Gothic" w:hAnsi="Century Gothic"/>
          <w:sz w:val="18"/>
          <w:szCs w:val="18"/>
        </w:rPr>
        <w:t xml:space="preserve"> is </w:t>
      </w:r>
      <w:r w:rsidR="00196AEC" w:rsidRPr="0046599D">
        <w:rPr>
          <w:rFonts w:ascii="Century Gothic" w:hAnsi="Century Gothic"/>
          <w:sz w:val="18"/>
          <w:szCs w:val="18"/>
        </w:rPr>
        <w:t>delivered</w:t>
      </w:r>
      <w:r w:rsidR="000D2415" w:rsidRPr="0046599D">
        <w:rPr>
          <w:rFonts w:ascii="Century Gothic" w:hAnsi="Century Gothic"/>
          <w:sz w:val="18"/>
          <w:szCs w:val="18"/>
        </w:rPr>
        <w:t xml:space="preserve"> to Investigate and Apply </w:t>
      </w:r>
      <w:r w:rsidR="00196AEC" w:rsidRPr="0046599D">
        <w:rPr>
          <w:rFonts w:ascii="Century Gothic" w:hAnsi="Century Gothic"/>
          <w:sz w:val="18"/>
          <w:szCs w:val="18"/>
        </w:rPr>
        <w:t>classes and other identified children where appropriate.</w:t>
      </w:r>
      <w:r w:rsidRPr="0046599D">
        <w:rPr>
          <w:rFonts w:ascii="Century Gothic" w:hAnsi="Century Gothic"/>
          <w:sz w:val="18"/>
          <w:szCs w:val="18"/>
        </w:rPr>
        <w:t xml:space="preserve"> Teaching focuses on recognising unsafe behaviour, staying safe online, dealing with cyberbullying, understanding digital footprints and knowing how to report concerns.</w:t>
      </w:r>
    </w:p>
    <w:p w14:paraId="694B1CA1" w14:textId="77777777" w:rsidR="00FB08B1" w:rsidRPr="0046599D" w:rsidRDefault="0046599D" w:rsidP="00293DEC">
      <w:pPr>
        <w:jc w:val="both"/>
        <w:rPr>
          <w:rFonts w:ascii="Century Gothic" w:hAnsi="Century Gothic"/>
          <w:sz w:val="18"/>
          <w:szCs w:val="18"/>
        </w:rPr>
      </w:pPr>
      <w:r w:rsidRPr="0046599D">
        <w:rPr>
          <w:rFonts w:ascii="Century Gothic" w:hAnsi="Century Gothic"/>
          <w:sz w:val="18"/>
          <w:szCs w:val="18"/>
        </w:rPr>
        <w:t>Where internet use is planned, staff will guide pupils to appropriate websites. When pupils are permitted to search independently, staff must supervise closely and respond immediately if unsuitable content appears</w:t>
      </w:r>
    </w:p>
    <w:p w14:paraId="47C73A6B" w14:textId="3903FE9A" w:rsidR="00DB36B4" w:rsidRPr="0046599D" w:rsidRDefault="0046599D" w:rsidP="00293DEC">
      <w:pPr>
        <w:jc w:val="both"/>
        <w:rPr>
          <w:rFonts w:ascii="Century Gothic" w:hAnsi="Century Gothic"/>
          <w:b/>
          <w:bCs/>
          <w:sz w:val="26"/>
          <w:szCs w:val="26"/>
        </w:rPr>
      </w:pPr>
      <w:r w:rsidRPr="0046599D">
        <w:rPr>
          <w:rFonts w:ascii="Century Gothic" w:hAnsi="Century Gothic"/>
          <w:b/>
          <w:bCs/>
          <w:sz w:val="26"/>
          <w:szCs w:val="26"/>
        </w:rPr>
        <w:t>5. Education – Parents and Carers</w:t>
      </w:r>
    </w:p>
    <w:p w14:paraId="44A877DF" w14:textId="77777777" w:rsidR="00FB08B1" w:rsidRPr="0046599D" w:rsidRDefault="00196AEC" w:rsidP="00293DEC">
      <w:pPr>
        <w:jc w:val="both"/>
        <w:rPr>
          <w:rFonts w:ascii="Century Gothic" w:hAnsi="Century Gothic"/>
          <w:sz w:val="18"/>
          <w:szCs w:val="18"/>
        </w:rPr>
      </w:pPr>
      <w:r w:rsidRPr="0046599D">
        <w:rPr>
          <w:rFonts w:ascii="Century Gothic" w:hAnsi="Century Gothic"/>
          <w:sz w:val="18"/>
          <w:szCs w:val="18"/>
        </w:rPr>
        <w:t>Hadrian School</w:t>
      </w:r>
      <w:r w:rsidR="0046599D" w:rsidRPr="0046599D">
        <w:rPr>
          <w:rFonts w:ascii="Century Gothic" w:hAnsi="Century Gothic"/>
          <w:sz w:val="18"/>
          <w:szCs w:val="18"/>
        </w:rPr>
        <w:t xml:space="preserve"> </w:t>
      </w:r>
      <w:proofErr w:type="spellStart"/>
      <w:r w:rsidR="0046599D" w:rsidRPr="0046599D">
        <w:rPr>
          <w:rFonts w:ascii="Century Gothic" w:hAnsi="Century Gothic"/>
          <w:sz w:val="18"/>
          <w:szCs w:val="18"/>
        </w:rPr>
        <w:t>recognises</w:t>
      </w:r>
      <w:proofErr w:type="spellEnd"/>
      <w:r w:rsidR="0046599D" w:rsidRPr="0046599D">
        <w:rPr>
          <w:rFonts w:ascii="Century Gothic" w:hAnsi="Century Gothic"/>
          <w:sz w:val="18"/>
          <w:szCs w:val="18"/>
        </w:rPr>
        <w:t xml:space="preserve"> that many parents have limited awareness of online risks. Support will be offered through </w:t>
      </w:r>
      <w:r w:rsidRPr="0046599D">
        <w:rPr>
          <w:rFonts w:ascii="Century Gothic" w:hAnsi="Century Gothic"/>
          <w:sz w:val="18"/>
          <w:szCs w:val="18"/>
        </w:rPr>
        <w:t>the Hadrian School website as well as other</w:t>
      </w:r>
      <w:r w:rsidR="0046599D" w:rsidRPr="0046599D">
        <w:rPr>
          <w:rFonts w:ascii="Century Gothic" w:hAnsi="Century Gothic"/>
          <w:sz w:val="18"/>
          <w:szCs w:val="18"/>
        </w:rPr>
        <w:t xml:space="preserve"> online </w:t>
      </w:r>
      <w:r w:rsidRPr="0046599D">
        <w:rPr>
          <w:rFonts w:ascii="Century Gothic" w:hAnsi="Century Gothic"/>
          <w:sz w:val="18"/>
          <w:szCs w:val="18"/>
        </w:rPr>
        <w:t>sources.</w:t>
      </w:r>
      <w:r w:rsidR="0046599D" w:rsidRPr="0046599D">
        <w:rPr>
          <w:rFonts w:ascii="Century Gothic" w:hAnsi="Century Gothic"/>
          <w:sz w:val="18"/>
          <w:szCs w:val="18"/>
        </w:rPr>
        <w:t xml:space="preserve"> </w:t>
      </w:r>
      <w:r w:rsidRPr="0046599D">
        <w:rPr>
          <w:rFonts w:ascii="Century Gothic" w:hAnsi="Century Gothic"/>
          <w:sz w:val="18"/>
          <w:szCs w:val="18"/>
        </w:rPr>
        <w:t>Parents are welcome to speak to school staff to be signposted for more specific advice and support.</w:t>
      </w:r>
      <w:r w:rsidR="0046599D" w:rsidRPr="0046599D">
        <w:rPr>
          <w:rFonts w:ascii="Century Gothic" w:hAnsi="Century Gothic"/>
          <w:sz w:val="18"/>
          <w:szCs w:val="18"/>
        </w:rPr>
        <w:t xml:space="preserve"> Parents are encouraged to adopt consistent safety practices at home.</w:t>
      </w:r>
    </w:p>
    <w:p w14:paraId="762E7340" w14:textId="7C14CA79" w:rsidR="00DB36B4" w:rsidRPr="0046599D" w:rsidRDefault="0046599D" w:rsidP="00293DEC">
      <w:pPr>
        <w:jc w:val="both"/>
        <w:rPr>
          <w:rFonts w:ascii="Century Gothic" w:hAnsi="Century Gothic"/>
          <w:b/>
          <w:bCs/>
          <w:sz w:val="26"/>
          <w:szCs w:val="26"/>
        </w:rPr>
      </w:pPr>
      <w:r w:rsidRPr="0046599D">
        <w:rPr>
          <w:rFonts w:ascii="Century Gothic" w:hAnsi="Century Gothic"/>
          <w:b/>
          <w:bCs/>
          <w:sz w:val="26"/>
          <w:szCs w:val="26"/>
        </w:rPr>
        <w:t>6. Technical Infrastructure, Filtering and Monitoring</w:t>
      </w:r>
    </w:p>
    <w:p w14:paraId="6F085A8E" w14:textId="7777777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The school’s technical systems ensure safe and secure digital access for all users. Filtering prevents access to harmful or illegal content, including material blocked through the Internet Watch Foundation CAIC list.</w:t>
      </w:r>
    </w:p>
    <w:p w14:paraId="2E86E09D" w14:textId="7777777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lastRenderedPageBreak/>
        <w:t>Monitoring systems log user activity, allowing staff to identify concerning behaviour early. Access rights are assigned based on role, and all users must maintain secure passwords.</w:t>
      </w:r>
    </w:p>
    <w:p w14:paraId="56419433" w14:textId="77777777" w:rsidR="00FB08B1" w:rsidRPr="0046599D" w:rsidRDefault="0046599D" w:rsidP="00293DEC">
      <w:pPr>
        <w:jc w:val="both"/>
        <w:rPr>
          <w:rFonts w:ascii="Century Gothic" w:hAnsi="Century Gothic"/>
          <w:sz w:val="18"/>
          <w:szCs w:val="18"/>
        </w:rPr>
      </w:pPr>
      <w:r w:rsidRPr="0046599D">
        <w:rPr>
          <w:rFonts w:ascii="Century Gothic" w:hAnsi="Century Gothic"/>
          <w:sz w:val="18"/>
          <w:szCs w:val="18"/>
        </w:rPr>
        <w:t>Servers, wireless systems and cabling are protected physically and digitally. Antivirus systems, firewall protections and software updates are maintained regularly. Requests for filtering changes follow strict approval protocols.</w:t>
      </w:r>
    </w:p>
    <w:p w14:paraId="1786B316" w14:textId="6BEF4BF3" w:rsidR="00DB36B4" w:rsidRPr="0046599D" w:rsidRDefault="0046599D" w:rsidP="00293DEC">
      <w:pPr>
        <w:jc w:val="both"/>
        <w:rPr>
          <w:rFonts w:ascii="Century Gothic" w:hAnsi="Century Gothic"/>
          <w:b/>
          <w:bCs/>
          <w:sz w:val="26"/>
          <w:szCs w:val="26"/>
        </w:rPr>
      </w:pPr>
      <w:r w:rsidRPr="0046599D">
        <w:rPr>
          <w:rFonts w:ascii="Century Gothic" w:hAnsi="Century Gothic"/>
          <w:b/>
          <w:bCs/>
          <w:sz w:val="26"/>
          <w:szCs w:val="26"/>
        </w:rPr>
        <w:t>7. Use of Digital and Video Images</w:t>
      </w:r>
    </w:p>
    <w:p w14:paraId="2591124F" w14:textId="6FF7433F"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Digital images can pose safeguarding risks if shared or published inappropriately.</w:t>
      </w:r>
      <w:r w:rsidR="00322891" w:rsidRPr="0046599D">
        <w:rPr>
          <w:rFonts w:ascii="Century Gothic" w:hAnsi="Century Gothic"/>
          <w:sz w:val="18"/>
          <w:szCs w:val="18"/>
        </w:rPr>
        <w:t xml:space="preserve"> Where appropriate, staff will</w:t>
      </w:r>
      <w:r w:rsidRPr="0046599D">
        <w:rPr>
          <w:rFonts w:ascii="Century Gothic" w:hAnsi="Century Gothic"/>
          <w:sz w:val="18"/>
          <w:szCs w:val="18"/>
        </w:rPr>
        <w:t xml:space="preserve"> educate pupils about safe image use and ensure all images reflect pupils in safe, appropriate contexts.</w:t>
      </w:r>
    </w:p>
    <w:p w14:paraId="497826D5" w14:textId="7777777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Staff must use only school equipment when taking images. Images must be stored securely, not shared on personal devices or accounts, and may only be used with parental consent.</w:t>
      </w:r>
    </w:p>
    <w:p w14:paraId="0BDC1350" w14:textId="77777777" w:rsidR="00FB08B1" w:rsidRPr="0046599D" w:rsidRDefault="0046599D" w:rsidP="00293DEC">
      <w:pPr>
        <w:jc w:val="both"/>
        <w:rPr>
          <w:rFonts w:ascii="Century Gothic" w:hAnsi="Century Gothic"/>
          <w:sz w:val="18"/>
          <w:szCs w:val="18"/>
        </w:rPr>
      </w:pPr>
      <w:r w:rsidRPr="0046599D">
        <w:rPr>
          <w:rFonts w:ascii="Century Gothic" w:hAnsi="Century Gothic"/>
          <w:sz w:val="18"/>
          <w:szCs w:val="18"/>
        </w:rPr>
        <w:t xml:space="preserve">Parents must not share photos of school events online. Pupils must not take, publish or distribute images of others without permission. Full names will not be used alongside photographs, and vulnerable pupils will be </w:t>
      </w:r>
      <w:proofErr w:type="gramStart"/>
      <w:r w:rsidRPr="0046599D">
        <w:rPr>
          <w:rFonts w:ascii="Century Gothic" w:hAnsi="Century Gothic"/>
          <w:sz w:val="18"/>
          <w:szCs w:val="18"/>
        </w:rPr>
        <w:t>protected at all times</w:t>
      </w:r>
      <w:proofErr w:type="gramEnd"/>
      <w:r w:rsidR="00322891" w:rsidRPr="0046599D">
        <w:rPr>
          <w:rFonts w:ascii="Century Gothic" w:hAnsi="Century Gothic"/>
          <w:sz w:val="18"/>
          <w:szCs w:val="18"/>
        </w:rPr>
        <w:t xml:space="preserve"> through the use of our ‘Consent’ document</w:t>
      </w:r>
      <w:r w:rsidRPr="0046599D">
        <w:rPr>
          <w:rFonts w:ascii="Century Gothic" w:hAnsi="Century Gothic"/>
          <w:sz w:val="18"/>
          <w:szCs w:val="18"/>
        </w:rPr>
        <w:t>.</w:t>
      </w:r>
    </w:p>
    <w:p w14:paraId="5D119BFB" w14:textId="0D2CD460" w:rsidR="00DB36B4" w:rsidRPr="0046599D" w:rsidRDefault="0046599D" w:rsidP="00293DEC">
      <w:pPr>
        <w:jc w:val="both"/>
        <w:rPr>
          <w:rFonts w:ascii="Century Gothic" w:hAnsi="Century Gothic"/>
          <w:b/>
          <w:bCs/>
          <w:sz w:val="26"/>
          <w:szCs w:val="26"/>
        </w:rPr>
      </w:pPr>
      <w:r w:rsidRPr="0046599D">
        <w:rPr>
          <w:rFonts w:ascii="Century Gothic" w:hAnsi="Century Gothic"/>
          <w:b/>
          <w:bCs/>
          <w:sz w:val="26"/>
          <w:szCs w:val="26"/>
        </w:rPr>
        <w:t>8. Communications</w:t>
      </w:r>
    </w:p>
    <w:p w14:paraId="0799CAF9" w14:textId="7777777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All communication must be professional and carried out using official school systems. Emails and messages may be monitored. Any communication that causes concern must be reported immediately and not responded to.</w:t>
      </w:r>
    </w:p>
    <w:p w14:paraId="40389C4C" w14:textId="77777777" w:rsidR="00FB08B1" w:rsidRPr="0046599D" w:rsidRDefault="0046599D" w:rsidP="00293DEC">
      <w:pPr>
        <w:jc w:val="both"/>
        <w:rPr>
          <w:rFonts w:ascii="Century Gothic" w:hAnsi="Century Gothic"/>
          <w:sz w:val="18"/>
          <w:szCs w:val="18"/>
        </w:rPr>
      </w:pPr>
      <w:r w:rsidRPr="0046599D">
        <w:rPr>
          <w:rFonts w:ascii="Century Gothic" w:hAnsi="Century Gothic"/>
          <w:sz w:val="18"/>
          <w:szCs w:val="18"/>
        </w:rPr>
        <w:t>Personal contact details must not be shared, and only official email addresses may identify staff publicly.</w:t>
      </w:r>
    </w:p>
    <w:p w14:paraId="1F64C25F" w14:textId="1264CDD2" w:rsidR="00DB36B4" w:rsidRPr="0046599D" w:rsidRDefault="0046599D" w:rsidP="00293DEC">
      <w:pPr>
        <w:jc w:val="both"/>
        <w:rPr>
          <w:rFonts w:ascii="Century Gothic" w:hAnsi="Century Gothic"/>
          <w:b/>
          <w:bCs/>
          <w:sz w:val="26"/>
          <w:szCs w:val="26"/>
        </w:rPr>
      </w:pPr>
      <w:r w:rsidRPr="0046599D">
        <w:rPr>
          <w:rFonts w:ascii="Century Gothic" w:hAnsi="Century Gothic"/>
          <w:b/>
          <w:bCs/>
          <w:sz w:val="26"/>
          <w:szCs w:val="26"/>
        </w:rPr>
        <w:t>9. Social Media – Protecting Professional Identity</w:t>
      </w:r>
    </w:p>
    <w:p w14:paraId="77817719" w14:textId="7777777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Staff must maintain clear professional boundaries and must not reference pupils, families or colleagues on personal social media. Personal opinions must not be presented as representing the school.</w:t>
      </w:r>
    </w:p>
    <w:p w14:paraId="3CC2E9F3" w14:textId="436B029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 xml:space="preserve">Staff </w:t>
      </w:r>
      <w:r w:rsidR="00AD0FD9" w:rsidRPr="0046599D">
        <w:rPr>
          <w:rFonts w:ascii="Century Gothic" w:hAnsi="Century Gothic"/>
          <w:sz w:val="18"/>
          <w:szCs w:val="18"/>
        </w:rPr>
        <w:t>are encouraged to use strong</w:t>
      </w:r>
      <w:r w:rsidRPr="0046599D">
        <w:rPr>
          <w:rFonts w:ascii="Century Gothic" w:hAnsi="Century Gothic"/>
          <w:sz w:val="18"/>
          <w:szCs w:val="18"/>
        </w:rPr>
        <w:t xml:space="preserve"> privacy settings </w:t>
      </w:r>
      <w:r w:rsidR="00AD0FD9" w:rsidRPr="0046599D">
        <w:rPr>
          <w:rFonts w:ascii="Century Gothic" w:hAnsi="Century Gothic"/>
          <w:sz w:val="18"/>
          <w:szCs w:val="18"/>
        </w:rPr>
        <w:t xml:space="preserve">on all social media </w:t>
      </w:r>
      <w:r w:rsidRPr="0046599D">
        <w:rPr>
          <w:rFonts w:ascii="Century Gothic" w:hAnsi="Century Gothic"/>
          <w:sz w:val="18"/>
          <w:szCs w:val="18"/>
        </w:rPr>
        <w:t>and</w:t>
      </w:r>
      <w:r w:rsidR="00AD0FD9" w:rsidRPr="0046599D">
        <w:rPr>
          <w:rFonts w:ascii="Century Gothic" w:hAnsi="Century Gothic"/>
          <w:sz w:val="18"/>
          <w:szCs w:val="18"/>
        </w:rPr>
        <w:t xml:space="preserve"> are to</w:t>
      </w:r>
      <w:r w:rsidRPr="0046599D">
        <w:rPr>
          <w:rFonts w:ascii="Century Gothic" w:hAnsi="Century Gothic"/>
          <w:sz w:val="18"/>
          <w:szCs w:val="18"/>
        </w:rPr>
        <w:t xml:space="preserve"> avoid engaging in online discussions that compromise professionalism. Misuse may result in disciplinary action.</w:t>
      </w:r>
    </w:p>
    <w:p w14:paraId="60DE2C84" w14:textId="77777777" w:rsidR="00FB08B1" w:rsidRPr="0046599D" w:rsidRDefault="0046599D" w:rsidP="00293DEC">
      <w:pPr>
        <w:jc w:val="both"/>
        <w:rPr>
          <w:rFonts w:ascii="Century Gothic" w:hAnsi="Century Gothic"/>
          <w:sz w:val="18"/>
          <w:szCs w:val="18"/>
        </w:rPr>
      </w:pPr>
      <w:r w:rsidRPr="0046599D">
        <w:rPr>
          <w:rFonts w:ascii="Century Gothic" w:hAnsi="Century Gothic"/>
          <w:sz w:val="18"/>
          <w:szCs w:val="18"/>
        </w:rPr>
        <w:t>The school may monitor public content relating to the school and respond to concerns as required.</w:t>
      </w:r>
    </w:p>
    <w:p w14:paraId="3F36A8E6" w14:textId="2919E11F" w:rsidR="00DB36B4" w:rsidRPr="0046599D" w:rsidRDefault="0046599D" w:rsidP="00293DEC">
      <w:pPr>
        <w:jc w:val="both"/>
        <w:rPr>
          <w:rFonts w:ascii="Century Gothic" w:hAnsi="Century Gothic"/>
          <w:b/>
          <w:bCs/>
          <w:sz w:val="26"/>
          <w:szCs w:val="26"/>
        </w:rPr>
      </w:pPr>
      <w:r w:rsidRPr="0046599D">
        <w:rPr>
          <w:rFonts w:ascii="Century Gothic" w:hAnsi="Century Gothic"/>
          <w:b/>
          <w:bCs/>
          <w:sz w:val="26"/>
          <w:szCs w:val="26"/>
        </w:rPr>
        <w:t>10. Unsuitable or Inappropriate Activities</w:t>
      </w:r>
    </w:p>
    <w:p w14:paraId="2EFA44B7" w14:textId="7777777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Illegal or harmful online activities are strictly prohibited. This includes accessing child sexual abuse images, extremist material, discriminatory content, pornography or threatening behaviour.</w:t>
      </w:r>
    </w:p>
    <w:p w14:paraId="522AED0E" w14:textId="7777777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Using proxy sites, attempting to bypass filters, downloading large files, using social media without permission, file-sharing and accessing inappropriate sites are unacceptable.</w:t>
      </w:r>
    </w:p>
    <w:p w14:paraId="6CE58DEE" w14:textId="77777777" w:rsidR="00FB08B1" w:rsidRPr="0046599D" w:rsidRDefault="0046599D" w:rsidP="00293DEC">
      <w:pPr>
        <w:jc w:val="both"/>
        <w:rPr>
          <w:rFonts w:ascii="Century Gothic" w:hAnsi="Century Gothic"/>
          <w:sz w:val="18"/>
          <w:szCs w:val="18"/>
        </w:rPr>
      </w:pPr>
      <w:r w:rsidRPr="0046599D">
        <w:rPr>
          <w:rFonts w:ascii="Century Gothic" w:hAnsi="Century Gothic"/>
          <w:sz w:val="18"/>
          <w:szCs w:val="18"/>
        </w:rPr>
        <w:t>The school provides clear guidance on acceptable, restricted and banned activities</w:t>
      </w:r>
      <w:r w:rsidR="00FB08B1" w:rsidRPr="0046599D">
        <w:rPr>
          <w:rFonts w:ascii="Century Gothic" w:hAnsi="Century Gothic"/>
          <w:sz w:val="18"/>
          <w:szCs w:val="18"/>
        </w:rPr>
        <w:t>. (Appendix 1)</w:t>
      </w:r>
    </w:p>
    <w:p w14:paraId="386459DE" w14:textId="77777777" w:rsidR="00293DEC" w:rsidRDefault="00293DEC" w:rsidP="00293DEC">
      <w:pPr>
        <w:jc w:val="both"/>
        <w:rPr>
          <w:rFonts w:ascii="Century Gothic" w:hAnsi="Century Gothic"/>
          <w:b/>
          <w:bCs/>
          <w:sz w:val="26"/>
          <w:szCs w:val="26"/>
        </w:rPr>
      </w:pPr>
    </w:p>
    <w:p w14:paraId="32E06A9C" w14:textId="7BDBC012" w:rsidR="00DB36B4" w:rsidRPr="0046599D" w:rsidRDefault="0046599D" w:rsidP="00293DEC">
      <w:pPr>
        <w:jc w:val="both"/>
        <w:rPr>
          <w:rFonts w:ascii="Century Gothic" w:hAnsi="Century Gothic"/>
          <w:b/>
          <w:bCs/>
          <w:sz w:val="26"/>
          <w:szCs w:val="26"/>
        </w:rPr>
      </w:pPr>
      <w:r w:rsidRPr="0046599D">
        <w:rPr>
          <w:rFonts w:ascii="Century Gothic" w:hAnsi="Century Gothic"/>
          <w:b/>
          <w:bCs/>
          <w:sz w:val="26"/>
          <w:szCs w:val="26"/>
        </w:rPr>
        <w:t>11. Responding to Incidents</w:t>
      </w:r>
    </w:p>
    <w:p w14:paraId="6666BB4F" w14:textId="7777777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lastRenderedPageBreak/>
        <w:t>Staff must follow established procedures, ensuring more than one senior member of staff is involved. Investigations must use a designated device, and evidence must be recorded carefully, including URLs and screenshots.</w:t>
      </w:r>
    </w:p>
    <w:p w14:paraId="0E2CC156" w14:textId="7777777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If illegal content is suspected, staff must stop immediately, isolate the device and contact the police. The device must not be altered.</w:t>
      </w:r>
    </w:p>
    <w:p w14:paraId="2304C688" w14:textId="4B80F58E" w:rsidR="00FB08B1" w:rsidRPr="0046599D" w:rsidRDefault="0046599D" w:rsidP="00293DEC">
      <w:pPr>
        <w:jc w:val="both"/>
        <w:rPr>
          <w:rFonts w:ascii="Century Gothic" w:hAnsi="Century Gothic"/>
          <w:sz w:val="18"/>
          <w:szCs w:val="18"/>
        </w:rPr>
      </w:pPr>
      <w:r w:rsidRPr="0046599D">
        <w:rPr>
          <w:rFonts w:ascii="Century Gothic" w:hAnsi="Century Gothic"/>
          <w:sz w:val="18"/>
          <w:szCs w:val="18"/>
        </w:rPr>
        <w:t xml:space="preserve">All incidents are logged </w:t>
      </w:r>
      <w:r w:rsidR="00AD0FD9" w:rsidRPr="0046599D">
        <w:rPr>
          <w:rFonts w:ascii="Century Gothic" w:hAnsi="Century Gothic"/>
          <w:sz w:val="18"/>
          <w:szCs w:val="18"/>
        </w:rPr>
        <w:t xml:space="preserve">on CPOMS </w:t>
      </w:r>
      <w:r w:rsidRPr="0046599D">
        <w:rPr>
          <w:rFonts w:ascii="Century Gothic" w:hAnsi="Century Gothic"/>
          <w:sz w:val="18"/>
          <w:szCs w:val="18"/>
        </w:rPr>
        <w:t>and managed proportionately, with actions ranging from internal responses to involvement of external agencies.</w:t>
      </w:r>
      <w:r w:rsidR="00A71F3D" w:rsidRPr="0046599D">
        <w:rPr>
          <w:rFonts w:ascii="Century Gothic" w:hAnsi="Century Gothic"/>
          <w:sz w:val="18"/>
          <w:szCs w:val="18"/>
        </w:rPr>
        <w:t xml:space="preserve"> (Appendix 2 and 3)</w:t>
      </w:r>
    </w:p>
    <w:p w14:paraId="68A93EEA" w14:textId="5FD2549C" w:rsidR="00DB36B4" w:rsidRPr="0046599D" w:rsidRDefault="0046599D" w:rsidP="00293DEC">
      <w:pPr>
        <w:jc w:val="both"/>
        <w:rPr>
          <w:rFonts w:ascii="Century Gothic" w:hAnsi="Century Gothic"/>
          <w:b/>
          <w:bCs/>
          <w:sz w:val="26"/>
          <w:szCs w:val="26"/>
        </w:rPr>
      </w:pPr>
      <w:r w:rsidRPr="0046599D">
        <w:rPr>
          <w:rFonts w:ascii="Century Gothic" w:hAnsi="Century Gothic"/>
          <w:b/>
          <w:bCs/>
          <w:sz w:val="26"/>
          <w:szCs w:val="26"/>
        </w:rPr>
        <w:t>12. Sanctions</w:t>
      </w:r>
    </w:p>
    <w:p w14:paraId="3FDF74BE" w14:textId="77777777" w:rsidR="00DB36B4" w:rsidRPr="0046599D" w:rsidRDefault="0046599D" w:rsidP="00293DEC">
      <w:pPr>
        <w:jc w:val="both"/>
        <w:rPr>
          <w:rFonts w:ascii="Century Gothic" w:hAnsi="Century Gothic"/>
          <w:sz w:val="18"/>
          <w:szCs w:val="18"/>
        </w:rPr>
      </w:pPr>
      <w:r w:rsidRPr="0046599D">
        <w:rPr>
          <w:rFonts w:ascii="Century Gothic" w:hAnsi="Century Gothic"/>
          <w:sz w:val="18"/>
          <w:szCs w:val="18"/>
        </w:rPr>
        <w:t>Sanctions for misuse depend on severity and may include warnings, removal of device access, meetings with parents, formal disciplinary action or police involvement.</w:t>
      </w:r>
    </w:p>
    <w:p w14:paraId="44F9D1DB" w14:textId="3EF9FD2B" w:rsidR="00FB08B1" w:rsidRPr="0046599D" w:rsidRDefault="0046599D" w:rsidP="00293DEC">
      <w:pPr>
        <w:jc w:val="both"/>
        <w:rPr>
          <w:rFonts w:ascii="Century Gothic" w:hAnsi="Century Gothic"/>
          <w:sz w:val="18"/>
          <w:szCs w:val="18"/>
        </w:rPr>
      </w:pPr>
      <w:r w:rsidRPr="0046599D">
        <w:rPr>
          <w:rFonts w:ascii="Century Gothic" w:hAnsi="Century Gothic"/>
          <w:sz w:val="18"/>
          <w:szCs w:val="18"/>
        </w:rPr>
        <w:t>Repeated or serious misuse will result in escalated responses, ensuring safeguarding remains the priority.</w:t>
      </w:r>
      <w:r w:rsidR="00A71F3D" w:rsidRPr="0046599D">
        <w:rPr>
          <w:rFonts w:ascii="Century Gothic" w:hAnsi="Century Gothic"/>
          <w:sz w:val="18"/>
          <w:szCs w:val="18"/>
        </w:rPr>
        <w:t xml:space="preserve"> (Appendix 2 and 3)</w:t>
      </w:r>
    </w:p>
    <w:p w14:paraId="47C8DE91" w14:textId="1F601B08" w:rsidR="00DB36B4" w:rsidRPr="0046599D" w:rsidRDefault="0046599D" w:rsidP="00293DEC">
      <w:pPr>
        <w:jc w:val="both"/>
        <w:rPr>
          <w:rFonts w:ascii="Century Gothic" w:hAnsi="Century Gothic"/>
          <w:b/>
          <w:bCs/>
          <w:sz w:val="26"/>
          <w:szCs w:val="26"/>
        </w:rPr>
      </w:pPr>
      <w:r w:rsidRPr="0046599D">
        <w:rPr>
          <w:rFonts w:ascii="Century Gothic" w:hAnsi="Century Gothic"/>
          <w:b/>
          <w:bCs/>
          <w:sz w:val="26"/>
          <w:szCs w:val="26"/>
        </w:rPr>
        <w:t>13. Review</w:t>
      </w:r>
    </w:p>
    <w:p w14:paraId="53C0F218" w14:textId="7B9E0356" w:rsidR="00FB08B1" w:rsidRPr="0046599D" w:rsidRDefault="0046599D" w:rsidP="00293DEC">
      <w:pPr>
        <w:jc w:val="both"/>
        <w:rPr>
          <w:rFonts w:ascii="Century Gothic" w:hAnsi="Century Gothic"/>
          <w:sz w:val="18"/>
          <w:szCs w:val="18"/>
        </w:rPr>
      </w:pPr>
      <w:r w:rsidRPr="0046599D">
        <w:rPr>
          <w:rFonts w:ascii="Century Gothic" w:hAnsi="Century Gothic"/>
          <w:sz w:val="18"/>
          <w:szCs w:val="18"/>
        </w:rPr>
        <w:t>This policy will be reviewed biannually by the Governing Body, or sooner if required by legislative or procedural changes. All updates will be communicated to staff and families accordingly.</w:t>
      </w:r>
    </w:p>
    <w:p w14:paraId="1BDABC65" w14:textId="4D33F7D4" w:rsidR="00FB08B1" w:rsidRDefault="00F30013" w:rsidP="00293DEC">
      <w:pPr>
        <w:jc w:val="both"/>
        <w:rPr>
          <w:rFonts w:ascii="Century Gothic" w:hAnsi="Century Gothic"/>
          <w:b/>
          <w:bCs/>
          <w:sz w:val="26"/>
          <w:szCs w:val="26"/>
        </w:rPr>
      </w:pPr>
      <w:r w:rsidRPr="00F30013">
        <w:rPr>
          <w:rFonts w:ascii="Century Gothic" w:hAnsi="Century Gothic"/>
          <w:b/>
          <w:bCs/>
          <w:sz w:val="26"/>
          <w:szCs w:val="26"/>
        </w:rPr>
        <w:t>14. Linked Policies</w:t>
      </w:r>
    </w:p>
    <w:p w14:paraId="171FD382" w14:textId="22202D54" w:rsidR="002165A2" w:rsidRPr="002165A2" w:rsidRDefault="002165A2" w:rsidP="00293DEC">
      <w:pPr>
        <w:pStyle w:val="ListParagraph"/>
        <w:numPr>
          <w:ilvl w:val="0"/>
          <w:numId w:val="12"/>
        </w:numPr>
        <w:jc w:val="both"/>
        <w:rPr>
          <w:rFonts w:ascii="Century Gothic" w:hAnsi="Century Gothic"/>
          <w:b/>
          <w:bCs/>
          <w:sz w:val="18"/>
          <w:szCs w:val="18"/>
        </w:rPr>
      </w:pPr>
      <w:r w:rsidRPr="002165A2">
        <w:rPr>
          <w:rFonts w:ascii="Century Gothic" w:hAnsi="Century Gothic"/>
          <w:sz w:val="18"/>
          <w:szCs w:val="18"/>
        </w:rPr>
        <w:t>AI Policy</w:t>
      </w:r>
    </w:p>
    <w:p w14:paraId="567D9BDF" w14:textId="0D71252E" w:rsidR="002165A2" w:rsidRPr="002165A2" w:rsidRDefault="002165A2" w:rsidP="00293DEC">
      <w:pPr>
        <w:pStyle w:val="ListParagraph"/>
        <w:numPr>
          <w:ilvl w:val="0"/>
          <w:numId w:val="12"/>
        </w:numPr>
        <w:jc w:val="both"/>
        <w:rPr>
          <w:rFonts w:ascii="Century Gothic" w:hAnsi="Century Gothic"/>
          <w:b/>
          <w:bCs/>
          <w:sz w:val="18"/>
          <w:szCs w:val="18"/>
        </w:rPr>
      </w:pPr>
      <w:r w:rsidRPr="002165A2">
        <w:rPr>
          <w:rFonts w:ascii="Century Gothic" w:hAnsi="Century Gothic"/>
          <w:sz w:val="18"/>
          <w:szCs w:val="18"/>
        </w:rPr>
        <w:t>Data Protection Policy</w:t>
      </w:r>
    </w:p>
    <w:p w14:paraId="0BBDFE8B" w14:textId="21544715" w:rsidR="002165A2" w:rsidRPr="002165A2" w:rsidRDefault="002165A2" w:rsidP="00293DEC">
      <w:pPr>
        <w:pStyle w:val="ListParagraph"/>
        <w:numPr>
          <w:ilvl w:val="0"/>
          <w:numId w:val="12"/>
        </w:numPr>
        <w:jc w:val="both"/>
        <w:rPr>
          <w:rFonts w:ascii="Century Gothic" w:hAnsi="Century Gothic"/>
          <w:b/>
          <w:bCs/>
          <w:sz w:val="18"/>
          <w:szCs w:val="18"/>
        </w:rPr>
      </w:pPr>
      <w:r w:rsidRPr="002165A2">
        <w:rPr>
          <w:rFonts w:ascii="Century Gothic" w:hAnsi="Century Gothic"/>
          <w:sz w:val="18"/>
          <w:szCs w:val="18"/>
        </w:rPr>
        <w:t>Safeguarding Policy</w:t>
      </w:r>
    </w:p>
    <w:p w14:paraId="3A5FDA70" w14:textId="77777777" w:rsidR="002165A2" w:rsidRPr="00F30013" w:rsidRDefault="002165A2">
      <w:pPr>
        <w:rPr>
          <w:rFonts w:ascii="Century Gothic" w:hAnsi="Century Gothic"/>
          <w:b/>
          <w:bCs/>
          <w:sz w:val="26"/>
          <w:szCs w:val="26"/>
        </w:rPr>
      </w:pPr>
    </w:p>
    <w:p w14:paraId="47707F45" w14:textId="77777777" w:rsidR="00FB08B1" w:rsidRPr="0046599D" w:rsidRDefault="00FB08B1">
      <w:pPr>
        <w:rPr>
          <w:rFonts w:ascii="Century Gothic" w:hAnsi="Century Gothic"/>
          <w:sz w:val="18"/>
          <w:szCs w:val="18"/>
        </w:rPr>
      </w:pPr>
    </w:p>
    <w:p w14:paraId="4C2B81EC" w14:textId="77777777" w:rsidR="00FB08B1" w:rsidRPr="0046599D" w:rsidRDefault="00FB08B1">
      <w:pPr>
        <w:rPr>
          <w:rFonts w:ascii="Century Gothic" w:hAnsi="Century Gothic"/>
          <w:sz w:val="18"/>
          <w:szCs w:val="18"/>
        </w:rPr>
      </w:pPr>
    </w:p>
    <w:p w14:paraId="524C9982" w14:textId="77777777" w:rsidR="00FB08B1" w:rsidRPr="0046599D" w:rsidRDefault="00FB08B1">
      <w:pPr>
        <w:rPr>
          <w:rFonts w:ascii="Century Gothic" w:hAnsi="Century Gothic"/>
          <w:sz w:val="18"/>
          <w:szCs w:val="18"/>
        </w:rPr>
      </w:pPr>
    </w:p>
    <w:p w14:paraId="1717A23C" w14:textId="77777777" w:rsidR="00FB08B1" w:rsidRPr="0046599D" w:rsidRDefault="00FB08B1">
      <w:pPr>
        <w:rPr>
          <w:rFonts w:ascii="Century Gothic" w:hAnsi="Century Gothic"/>
          <w:sz w:val="18"/>
          <w:szCs w:val="18"/>
        </w:rPr>
      </w:pPr>
    </w:p>
    <w:p w14:paraId="1EA2D45E" w14:textId="77777777" w:rsidR="00FB08B1" w:rsidRPr="0046599D" w:rsidRDefault="00FB08B1">
      <w:pPr>
        <w:rPr>
          <w:rFonts w:ascii="Century Gothic" w:hAnsi="Century Gothic"/>
          <w:sz w:val="18"/>
          <w:szCs w:val="18"/>
        </w:rPr>
      </w:pPr>
    </w:p>
    <w:p w14:paraId="619607D1" w14:textId="77777777" w:rsidR="00FB08B1" w:rsidRPr="0046599D" w:rsidRDefault="00FB08B1">
      <w:pPr>
        <w:rPr>
          <w:rFonts w:ascii="Century Gothic" w:hAnsi="Century Gothic"/>
          <w:sz w:val="18"/>
          <w:szCs w:val="18"/>
        </w:rPr>
      </w:pPr>
    </w:p>
    <w:p w14:paraId="27DB3D58" w14:textId="77777777" w:rsidR="00FB08B1" w:rsidRPr="0046599D" w:rsidRDefault="00FB08B1">
      <w:pPr>
        <w:rPr>
          <w:rFonts w:ascii="Century Gothic" w:hAnsi="Century Gothic"/>
          <w:sz w:val="18"/>
          <w:szCs w:val="18"/>
        </w:rPr>
      </w:pPr>
    </w:p>
    <w:p w14:paraId="7A3FEB16" w14:textId="77777777" w:rsidR="00FB08B1" w:rsidRPr="0046599D" w:rsidRDefault="00FB08B1">
      <w:pPr>
        <w:rPr>
          <w:rFonts w:ascii="Century Gothic" w:hAnsi="Century Gothic"/>
          <w:sz w:val="18"/>
          <w:szCs w:val="18"/>
        </w:rPr>
      </w:pPr>
    </w:p>
    <w:p w14:paraId="59F131C6" w14:textId="77777777" w:rsidR="00FB08B1" w:rsidRPr="0046599D" w:rsidRDefault="00FB08B1">
      <w:pPr>
        <w:rPr>
          <w:rFonts w:ascii="Century Gothic" w:hAnsi="Century Gothic"/>
          <w:sz w:val="18"/>
          <w:szCs w:val="18"/>
        </w:rPr>
      </w:pPr>
    </w:p>
    <w:p w14:paraId="4061F7B7" w14:textId="77777777" w:rsidR="0046599D" w:rsidRPr="0046599D" w:rsidRDefault="0046599D">
      <w:pPr>
        <w:rPr>
          <w:rFonts w:ascii="Century Gothic" w:hAnsi="Century Gothic"/>
          <w:sz w:val="18"/>
          <w:szCs w:val="18"/>
        </w:rPr>
      </w:pPr>
    </w:p>
    <w:p w14:paraId="53C0BB80" w14:textId="443BACD3" w:rsidR="00FB08B1" w:rsidRPr="0046599D" w:rsidRDefault="00FB08B1">
      <w:pPr>
        <w:rPr>
          <w:rFonts w:ascii="Century Gothic" w:hAnsi="Century Gothic"/>
          <w:b/>
          <w:bCs/>
          <w:sz w:val="26"/>
          <w:szCs w:val="26"/>
        </w:rPr>
      </w:pPr>
      <w:r w:rsidRPr="0046599D">
        <w:rPr>
          <w:rFonts w:ascii="Century Gothic" w:hAnsi="Century Gothic"/>
          <w:b/>
          <w:bCs/>
          <w:sz w:val="26"/>
          <w:szCs w:val="26"/>
        </w:rPr>
        <w:t>Appendix 1</w:t>
      </w:r>
      <w:r w:rsidR="00960397" w:rsidRPr="0046599D">
        <w:rPr>
          <w:rFonts w:ascii="Century Gothic" w:hAnsi="Century Gothic"/>
          <w:b/>
          <w:bCs/>
          <w:sz w:val="26"/>
          <w:szCs w:val="26"/>
        </w:rPr>
        <w:t xml:space="preserve"> – Acceptable, Restricted and Banned Activities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7"/>
        <w:gridCol w:w="1561"/>
        <w:gridCol w:w="1412"/>
        <w:gridCol w:w="1347"/>
        <w:gridCol w:w="1477"/>
      </w:tblGrid>
      <w:tr w:rsidR="0046599D" w:rsidRPr="0046599D" w14:paraId="73E21056" w14:textId="77777777" w:rsidTr="0046599D">
        <w:trPr>
          <w:trHeight w:val="931"/>
          <w:tblCellSpacing w:w="15" w:type="dxa"/>
        </w:trPr>
        <w:tc>
          <w:tcPr>
            <w:tcW w:w="278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41B11E6" w14:textId="77777777" w:rsidR="00FB08B1" w:rsidRPr="00FB08B1" w:rsidRDefault="00FB08B1" w:rsidP="00FB08B1">
            <w:pPr>
              <w:jc w:val="center"/>
              <w:rPr>
                <w:rFonts w:ascii="Century Gothic" w:hAnsi="Century Gothic"/>
                <w:b/>
                <w:bCs/>
                <w:sz w:val="18"/>
                <w:szCs w:val="18"/>
                <w:lang w:val="en-GB"/>
              </w:rPr>
            </w:pPr>
            <w:r w:rsidRPr="00FB08B1">
              <w:rPr>
                <w:rFonts w:ascii="Century Gothic" w:hAnsi="Century Gothic"/>
                <w:b/>
                <w:bCs/>
                <w:sz w:val="18"/>
                <w:szCs w:val="18"/>
                <w:lang w:val="en-GB"/>
              </w:rPr>
              <w:t>User Action</w:t>
            </w:r>
          </w:p>
        </w:tc>
        <w:tc>
          <w:tcPr>
            <w:tcW w:w="153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44DE3CF" w14:textId="77777777" w:rsidR="00FB08B1" w:rsidRPr="00FB08B1" w:rsidRDefault="00FB08B1" w:rsidP="00FB08B1">
            <w:pPr>
              <w:jc w:val="center"/>
              <w:rPr>
                <w:rFonts w:ascii="Century Gothic" w:hAnsi="Century Gothic"/>
                <w:b/>
                <w:bCs/>
                <w:sz w:val="18"/>
                <w:szCs w:val="18"/>
                <w:lang w:val="en-GB"/>
              </w:rPr>
            </w:pPr>
            <w:r w:rsidRPr="00FB08B1">
              <w:rPr>
                <w:rFonts w:ascii="Century Gothic" w:hAnsi="Century Gothic"/>
                <w:b/>
                <w:bCs/>
                <w:sz w:val="18"/>
                <w:szCs w:val="18"/>
                <w:lang w:val="en-GB"/>
              </w:rPr>
              <w:t>Acceptable at Certain Times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292928" w14:textId="77777777" w:rsidR="00FB08B1" w:rsidRPr="00FB08B1" w:rsidRDefault="00FB08B1" w:rsidP="0046599D">
            <w:pPr>
              <w:jc w:val="center"/>
              <w:rPr>
                <w:rFonts w:ascii="Century Gothic" w:hAnsi="Century Gothic"/>
                <w:b/>
                <w:bCs/>
                <w:sz w:val="18"/>
                <w:szCs w:val="18"/>
                <w:lang w:val="en-GB"/>
              </w:rPr>
            </w:pPr>
            <w:r w:rsidRPr="00FB08B1">
              <w:rPr>
                <w:rFonts w:ascii="Century Gothic" w:hAnsi="Century Gothic"/>
                <w:b/>
                <w:bCs/>
                <w:sz w:val="18"/>
                <w:szCs w:val="18"/>
                <w:lang w:val="en-GB"/>
              </w:rPr>
              <w:t>Acceptable for Nominated Users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51CBCC6" w14:textId="77777777" w:rsidR="00FB08B1" w:rsidRPr="00FB08B1" w:rsidRDefault="00FB08B1" w:rsidP="00FB08B1">
            <w:pPr>
              <w:jc w:val="center"/>
              <w:rPr>
                <w:rFonts w:ascii="Century Gothic" w:hAnsi="Century Gothic"/>
                <w:b/>
                <w:bCs/>
                <w:sz w:val="18"/>
                <w:szCs w:val="18"/>
                <w:lang w:val="en-GB"/>
              </w:rPr>
            </w:pPr>
            <w:r w:rsidRPr="00FB08B1">
              <w:rPr>
                <w:rFonts w:ascii="Century Gothic" w:hAnsi="Century Gothic"/>
                <w:b/>
                <w:bCs/>
                <w:sz w:val="18"/>
                <w:szCs w:val="18"/>
                <w:lang w:val="en-GB"/>
              </w:rPr>
              <w:t>Unacceptable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A82B838" w14:textId="77777777" w:rsidR="00FB08B1" w:rsidRPr="00FB08B1" w:rsidRDefault="00FB08B1" w:rsidP="00FB08B1">
            <w:pPr>
              <w:jc w:val="center"/>
              <w:rPr>
                <w:rFonts w:ascii="Century Gothic" w:hAnsi="Century Gothic"/>
                <w:b/>
                <w:bCs/>
                <w:sz w:val="18"/>
                <w:szCs w:val="18"/>
                <w:lang w:val="en-GB"/>
              </w:rPr>
            </w:pPr>
            <w:r w:rsidRPr="00FB08B1">
              <w:rPr>
                <w:rFonts w:ascii="Century Gothic" w:hAnsi="Century Gothic"/>
                <w:b/>
                <w:bCs/>
                <w:sz w:val="18"/>
                <w:szCs w:val="18"/>
                <w:lang w:val="en-GB"/>
              </w:rPr>
              <w:t>Unacceptable &amp; Illegal</w:t>
            </w:r>
          </w:p>
        </w:tc>
      </w:tr>
      <w:tr w:rsidR="0046599D" w:rsidRPr="0046599D" w14:paraId="600DD042" w14:textId="77777777" w:rsidTr="0046599D">
        <w:trPr>
          <w:trHeight w:val="1192"/>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4299A4D5"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Child sexual abuse images – making, production, or distribution (Protection of Children Act 1978)</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3668F2B4"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33B549"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BE9FD1"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05D6CA"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r>
      <w:tr w:rsidR="0046599D" w:rsidRPr="0046599D" w14:paraId="06400E63"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0CFB5BC1"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Grooming, incitement, arrangement or facilitation of sexual acts against children (Sexual Offences Act 2003)</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52AFE2A2"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964E66"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4A67F5"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831816"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r>
      <w:tr w:rsidR="0046599D" w:rsidRPr="0046599D" w14:paraId="14E49135"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6274B252"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Possession of extreme pornographic images (Criminal Justice &amp; Immigration Act 2008)</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74BB660A"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4693E7"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A4F1F1"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E2690A"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r>
      <w:tr w:rsidR="0046599D" w:rsidRPr="0046599D" w14:paraId="799C6334"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1FA35960"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Criminally racist material intended to stir up hatred (Public Order Act 1986)</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51F9F88B"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C0E0EE"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821500"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6C9BA8"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r>
      <w:tr w:rsidR="0046599D" w:rsidRPr="0046599D" w14:paraId="33C80050"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7F96C6BC"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Pornography</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4D772EE2"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4E7C66"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074F44"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78A112" w14:textId="77777777" w:rsidR="00FB08B1" w:rsidRPr="00FB08B1" w:rsidRDefault="00FB08B1" w:rsidP="00FB08B1">
            <w:pPr>
              <w:rPr>
                <w:rFonts w:ascii="Century Gothic" w:hAnsi="Century Gothic"/>
                <w:sz w:val="18"/>
                <w:szCs w:val="18"/>
                <w:lang w:val="en-GB"/>
              </w:rPr>
            </w:pPr>
          </w:p>
        </w:tc>
      </w:tr>
      <w:tr w:rsidR="0046599D" w:rsidRPr="0046599D" w14:paraId="16A175F3"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1AC0CF90"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Promotion of discrimination</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584A49F5"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043251"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0B1FFE"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ED759EC" w14:textId="77777777" w:rsidR="00FB08B1" w:rsidRPr="00FB08B1" w:rsidRDefault="00FB08B1" w:rsidP="00FB08B1">
            <w:pPr>
              <w:rPr>
                <w:rFonts w:ascii="Century Gothic" w:hAnsi="Century Gothic"/>
                <w:sz w:val="18"/>
                <w:szCs w:val="18"/>
                <w:lang w:val="en-GB"/>
              </w:rPr>
            </w:pPr>
          </w:p>
        </w:tc>
      </w:tr>
      <w:tr w:rsidR="0046599D" w:rsidRPr="0046599D" w14:paraId="579413B0"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4B369C21"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Threatening behaviour, including promoting physical or mental harm</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5A4A353C"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E92645"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6E1F59"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B583F5" w14:textId="77777777" w:rsidR="00FB08B1" w:rsidRPr="00FB08B1" w:rsidRDefault="00FB08B1" w:rsidP="00FB08B1">
            <w:pPr>
              <w:rPr>
                <w:rFonts w:ascii="Century Gothic" w:hAnsi="Century Gothic"/>
                <w:sz w:val="18"/>
                <w:szCs w:val="18"/>
                <w:lang w:val="en-GB"/>
              </w:rPr>
            </w:pPr>
          </w:p>
        </w:tc>
      </w:tr>
      <w:tr w:rsidR="0046599D" w:rsidRPr="0046599D" w14:paraId="65ED45AE"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66C41DED"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Promotion of extremism or terrorism</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4B0A7C46"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4E6FC8"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232A25" w14:textId="3D8A8D47" w:rsidR="00FB08B1" w:rsidRPr="00FB08B1" w:rsidRDefault="00FB08B1" w:rsidP="00FB08B1">
            <w:pPr>
              <w:rPr>
                <w:rFonts w:ascii="Century Gothic" w:hAnsi="Century Gothic"/>
                <w:b/>
                <w:bCs/>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1482DE" w14:textId="609B10EC" w:rsidR="00FB08B1" w:rsidRPr="00FB08B1" w:rsidRDefault="00FB08B1" w:rsidP="00FB08B1">
            <w:pPr>
              <w:rPr>
                <w:rFonts w:ascii="Century Gothic" w:hAnsi="Century Gothic"/>
                <w:b/>
                <w:bCs/>
                <w:sz w:val="18"/>
                <w:szCs w:val="18"/>
                <w:lang w:val="en-GB"/>
              </w:rPr>
            </w:pPr>
            <w:r w:rsidRPr="00FB08B1">
              <w:rPr>
                <w:rFonts w:ascii="Century Gothic" w:hAnsi="Century Gothic"/>
                <w:b/>
                <w:bCs/>
                <w:sz w:val="18"/>
                <w:szCs w:val="18"/>
                <w:lang w:val="en-GB"/>
              </w:rPr>
              <w:t>X</w:t>
            </w:r>
          </w:p>
        </w:tc>
      </w:tr>
      <w:tr w:rsidR="0046599D" w:rsidRPr="0046599D" w14:paraId="2324C73E"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5A97058B"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Offensive material or anything that harms the school’s ethos or reputation</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5025FB26"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20AE34"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C7F314"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C53F93" w14:textId="77777777" w:rsidR="00FB08B1" w:rsidRPr="00FB08B1" w:rsidRDefault="00FB08B1" w:rsidP="00FB08B1">
            <w:pPr>
              <w:rPr>
                <w:rFonts w:ascii="Century Gothic" w:hAnsi="Century Gothic"/>
                <w:sz w:val="18"/>
                <w:szCs w:val="18"/>
                <w:lang w:val="en-GB"/>
              </w:rPr>
            </w:pPr>
          </w:p>
        </w:tc>
      </w:tr>
      <w:tr w:rsidR="0046599D" w:rsidRPr="0046599D" w14:paraId="5BF66D6A"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54FC4B05"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Using school systems to run a private business</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6A3C08EB"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2F1E14"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A19EA9"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50987B" w14:textId="77777777" w:rsidR="00FB08B1" w:rsidRPr="00FB08B1" w:rsidRDefault="00FB08B1" w:rsidP="00FB08B1">
            <w:pPr>
              <w:rPr>
                <w:rFonts w:ascii="Century Gothic" w:hAnsi="Century Gothic"/>
                <w:sz w:val="18"/>
                <w:szCs w:val="18"/>
                <w:lang w:val="en-GB"/>
              </w:rPr>
            </w:pPr>
          </w:p>
        </w:tc>
      </w:tr>
      <w:tr w:rsidR="0046599D" w:rsidRPr="0046599D" w14:paraId="6B34D301"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17D06755"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lastRenderedPageBreak/>
              <w:t>Bypassing filtering or safeguarding systems</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23D48A84"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BD29F01"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2AB3EB"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450DF1" w14:textId="77777777" w:rsidR="00FB08B1" w:rsidRPr="00FB08B1" w:rsidRDefault="00FB08B1" w:rsidP="00FB08B1">
            <w:pPr>
              <w:rPr>
                <w:rFonts w:ascii="Century Gothic" w:hAnsi="Century Gothic"/>
                <w:sz w:val="18"/>
                <w:szCs w:val="18"/>
                <w:lang w:val="en-GB"/>
              </w:rPr>
            </w:pPr>
          </w:p>
        </w:tc>
      </w:tr>
      <w:tr w:rsidR="0046599D" w:rsidRPr="0046599D" w14:paraId="1A99F43B"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648FC240"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Infringing copyright</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1E278B3C"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1538F6"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37301A" w14:textId="52AFD879" w:rsidR="00FB08B1" w:rsidRPr="00FB08B1" w:rsidRDefault="00FB08B1" w:rsidP="00FB08B1">
            <w:pPr>
              <w:rPr>
                <w:rFonts w:ascii="Century Gothic" w:hAnsi="Century Gothic"/>
                <w:b/>
                <w:bCs/>
                <w:sz w:val="24"/>
                <w:szCs w:val="24"/>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3D1D4D" w14:textId="4E4DB89D" w:rsidR="00FB08B1" w:rsidRPr="00FB08B1" w:rsidRDefault="00A71F3D" w:rsidP="00FB08B1">
            <w:pPr>
              <w:rPr>
                <w:rFonts w:ascii="Century Gothic" w:hAnsi="Century Gothic"/>
                <w:b/>
                <w:bCs/>
                <w:sz w:val="24"/>
                <w:szCs w:val="24"/>
                <w:lang w:val="en-GB"/>
              </w:rPr>
            </w:pPr>
            <w:r w:rsidRPr="0046599D">
              <w:rPr>
                <w:rFonts w:ascii="Century Gothic" w:hAnsi="Century Gothic"/>
                <w:b/>
                <w:bCs/>
                <w:lang w:val="en-GB"/>
              </w:rPr>
              <w:t>x</w:t>
            </w:r>
          </w:p>
        </w:tc>
      </w:tr>
      <w:tr w:rsidR="0046599D" w:rsidRPr="0046599D" w14:paraId="47B4A9DB"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1F3B4C6F"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Revealing or publicising confidential information (e.g., financial, personal, passwords)</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52245FBC"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799E0A"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B0D14E"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5A77DA" w14:textId="77777777" w:rsidR="00FB08B1" w:rsidRPr="00FB08B1" w:rsidRDefault="00FB08B1" w:rsidP="00FB08B1">
            <w:pPr>
              <w:rPr>
                <w:rFonts w:ascii="Century Gothic" w:hAnsi="Century Gothic"/>
                <w:sz w:val="18"/>
                <w:szCs w:val="18"/>
                <w:lang w:val="en-GB"/>
              </w:rPr>
            </w:pPr>
          </w:p>
        </w:tc>
      </w:tr>
      <w:tr w:rsidR="0046599D" w:rsidRPr="0046599D" w14:paraId="35079B47"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78E51138"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Creating or spreading viruses or harmful files</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55EA47D5"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D28FB2"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DF66ED" w14:textId="16B02CD0"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7C3B9C" w14:textId="7FB3EFDD" w:rsidR="00FB08B1" w:rsidRPr="00FB08B1" w:rsidRDefault="00A71F3D" w:rsidP="00FB08B1">
            <w:pPr>
              <w:rPr>
                <w:rFonts w:ascii="Century Gothic" w:hAnsi="Century Gothic"/>
                <w:b/>
                <w:bCs/>
                <w:sz w:val="18"/>
                <w:szCs w:val="18"/>
                <w:lang w:val="en-GB"/>
              </w:rPr>
            </w:pPr>
            <w:r w:rsidRPr="0046599D">
              <w:rPr>
                <w:rFonts w:ascii="Century Gothic" w:hAnsi="Century Gothic"/>
                <w:b/>
                <w:bCs/>
                <w:sz w:val="20"/>
                <w:szCs w:val="20"/>
                <w:lang w:val="en-GB"/>
              </w:rPr>
              <w:t>x</w:t>
            </w:r>
          </w:p>
        </w:tc>
      </w:tr>
      <w:tr w:rsidR="0046599D" w:rsidRPr="0046599D" w14:paraId="1E5F0222"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7FDCB0D4"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Unfair usage (e.g., large downloads/uploads that affect others)</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44175CB5"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4C6F68"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5AD8F3"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41B8E5" w14:textId="77777777" w:rsidR="00FB08B1" w:rsidRPr="00FB08B1" w:rsidRDefault="00FB08B1" w:rsidP="00FB08B1">
            <w:pPr>
              <w:rPr>
                <w:rFonts w:ascii="Century Gothic" w:hAnsi="Century Gothic"/>
                <w:sz w:val="18"/>
                <w:szCs w:val="18"/>
                <w:lang w:val="en-GB"/>
              </w:rPr>
            </w:pPr>
          </w:p>
        </w:tc>
      </w:tr>
      <w:tr w:rsidR="0046599D" w:rsidRPr="0046599D" w14:paraId="70F489CC"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3DE19D21"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Online gaming – educational</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606AC852"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93E7CC"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308088"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BFD254" w14:textId="77777777" w:rsidR="00FB08B1" w:rsidRPr="00FB08B1" w:rsidRDefault="00FB08B1" w:rsidP="00FB08B1">
            <w:pPr>
              <w:rPr>
                <w:rFonts w:ascii="Century Gothic" w:hAnsi="Century Gothic"/>
                <w:sz w:val="18"/>
                <w:szCs w:val="18"/>
                <w:lang w:val="en-GB"/>
              </w:rPr>
            </w:pPr>
          </w:p>
        </w:tc>
      </w:tr>
      <w:tr w:rsidR="0046599D" w:rsidRPr="0046599D" w14:paraId="7BC532E1"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70575A88"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Online gaming – non</w:t>
            </w:r>
            <w:r w:rsidRPr="00FB08B1">
              <w:rPr>
                <w:rFonts w:ascii="Century Gothic" w:hAnsi="Century Gothic"/>
                <w:sz w:val="18"/>
                <w:szCs w:val="18"/>
                <w:lang w:val="en-GB"/>
              </w:rPr>
              <w:noBreakHyphen/>
              <w:t>educational</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4067B3CD"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699C88"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A6FE2D"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71C5FC" w14:textId="77777777" w:rsidR="00FB08B1" w:rsidRPr="00FB08B1" w:rsidRDefault="00FB08B1" w:rsidP="00FB08B1">
            <w:pPr>
              <w:rPr>
                <w:rFonts w:ascii="Century Gothic" w:hAnsi="Century Gothic"/>
                <w:sz w:val="18"/>
                <w:szCs w:val="18"/>
                <w:lang w:val="en-GB"/>
              </w:rPr>
            </w:pPr>
          </w:p>
        </w:tc>
      </w:tr>
      <w:tr w:rsidR="0046599D" w:rsidRPr="0046599D" w14:paraId="0445A007"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573DD5E0"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Online gambling</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72C60770"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185098"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D8A943"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E26B92" w14:textId="77777777" w:rsidR="00FB08B1" w:rsidRPr="00FB08B1" w:rsidRDefault="00FB08B1" w:rsidP="00FB08B1">
            <w:pPr>
              <w:rPr>
                <w:rFonts w:ascii="Century Gothic" w:hAnsi="Century Gothic"/>
                <w:sz w:val="18"/>
                <w:szCs w:val="18"/>
                <w:lang w:val="en-GB"/>
              </w:rPr>
            </w:pPr>
          </w:p>
        </w:tc>
      </w:tr>
      <w:tr w:rsidR="0046599D" w:rsidRPr="0046599D" w14:paraId="39488DEE"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7E18D3CD"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Online shopping / commerce</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3AA5B5B2"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385286"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C27E86"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7CBC17" w14:textId="77777777" w:rsidR="00FB08B1" w:rsidRPr="00FB08B1" w:rsidRDefault="00FB08B1" w:rsidP="00FB08B1">
            <w:pPr>
              <w:rPr>
                <w:rFonts w:ascii="Century Gothic" w:hAnsi="Century Gothic"/>
                <w:sz w:val="18"/>
                <w:szCs w:val="18"/>
                <w:lang w:val="en-GB"/>
              </w:rPr>
            </w:pPr>
          </w:p>
        </w:tc>
      </w:tr>
      <w:tr w:rsidR="0046599D" w:rsidRPr="0046599D" w14:paraId="66C4DD3E"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2F79B98E"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File sharing</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30DE58CD"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016C0A"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9AA4FC"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B819DC" w14:textId="77777777" w:rsidR="00FB08B1" w:rsidRPr="00FB08B1" w:rsidRDefault="00FB08B1" w:rsidP="00FB08B1">
            <w:pPr>
              <w:rPr>
                <w:rFonts w:ascii="Century Gothic" w:hAnsi="Century Gothic"/>
                <w:sz w:val="18"/>
                <w:szCs w:val="18"/>
                <w:lang w:val="en-GB"/>
              </w:rPr>
            </w:pPr>
          </w:p>
        </w:tc>
      </w:tr>
      <w:tr w:rsidR="0046599D" w:rsidRPr="0046599D" w14:paraId="6B095F09"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296888F0"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Use of social media</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602B4BA8"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025108"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EB9A6B"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8FADBF" w14:textId="77777777" w:rsidR="00FB08B1" w:rsidRPr="00FB08B1" w:rsidRDefault="00FB08B1" w:rsidP="00FB08B1">
            <w:pPr>
              <w:rPr>
                <w:rFonts w:ascii="Century Gothic" w:hAnsi="Century Gothic"/>
                <w:sz w:val="18"/>
                <w:szCs w:val="18"/>
                <w:lang w:val="en-GB"/>
              </w:rPr>
            </w:pPr>
          </w:p>
        </w:tc>
      </w:tr>
      <w:tr w:rsidR="0046599D" w:rsidRPr="0046599D" w14:paraId="54F856A9" w14:textId="77777777" w:rsidTr="0046599D">
        <w:trPr>
          <w:tblCellSpacing w:w="15" w:type="dxa"/>
        </w:trPr>
        <w:tc>
          <w:tcPr>
            <w:tcW w:w="2782" w:type="dxa"/>
            <w:tcBorders>
              <w:top w:val="single" w:sz="6" w:space="0" w:color="E6E6E6"/>
              <w:left w:val="single" w:sz="6" w:space="0" w:color="E6E6E6"/>
              <w:bottom w:val="single" w:sz="6" w:space="0" w:color="E6E6E6"/>
              <w:right w:val="single" w:sz="6" w:space="0" w:color="E6E6E6"/>
            </w:tcBorders>
            <w:vAlign w:val="center"/>
            <w:hideMark/>
          </w:tcPr>
          <w:p w14:paraId="618FD6A0" w14:textId="77777777" w:rsidR="00FB08B1" w:rsidRPr="00FB08B1" w:rsidRDefault="00FB08B1" w:rsidP="00FB08B1">
            <w:pPr>
              <w:jc w:val="center"/>
              <w:rPr>
                <w:rFonts w:ascii="Century Gothic" w:hAnsi="Century Gothic"/>
                <w:sz w:val="18"/>
                <w:szCs w:val="18"/>
                <w:lang w:val="en-GB"/>
              </w:rPr>
            </w:pPr>
            <w:r w:rsidRPr="00FB08B1">
              <w:rPr>
                <w:rFonts w:ascii="Century Gothic" w:hAnsi="Century Gothic"/>
                <w:sz w:val="18"/>
                <w:szCs w:val="18"/>
                <w:lang w:val="en-GB"/>
              </w:rPr>
              <w:t>Use of messaging apps</w:t>
            </w:r>
          </w:p>
        </w:tc>
        <w:tc>
          <w:tcPr>
            <w:tcW w:w="1531" w:type="dxa"/>
            <w:tcBorders>
              <w:top w:val="single" w:sz="6" w:space="0" w:color="E6E6E6"/>
              <w:left w:val="single" w:sz="6" w:space="0" w:color="E6E6E6"/>
              <w:bottom w:val="single" w:sz="6" w:space="0" w:color="E6E6E6"/>
              <w:right w:val="single" w:sz="6" w:space="0" w:color="E6E6E6"/>
            </w:tcBorders>
            <w:vAlign w:val="center"/>
            <w:hideMark/>
          </w:tcPr>
          <w:p w14:paraId="67639946"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FC0C09" w14:textId="77777777" w:rsidR="00FB08B1" w:rsidRPr="00FB08B1" w:rsidRDefault="00FB08B1" w:rsidP="00FB08B1">
            <w:pPr>
              <w:rPr>
                <w:rFonts w:ascii="Century Gothic" w:hAnsi="Century Gothic"/>
                <w:sz w:val="18"/>
                <w:szCs w:val="18"/>
                <w:lang w:val="en-GB"/>
              </w:rPr>
            </w:pPr>
            <w:r w:rsidRPr="00FB08B1">
              <w:rPr>
                <w:rFonts w:ascii="Century Gothic" w:hAnsi="Century Gothic"/>
                <w:b/>
                <w:bCs/>
                <w:sz w:val="18"/>
                <w:szCs w:val="18"/>
                <w:lang w:val="en-GB"/>
              </w:rPr>
              <w:t>X</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66ADE7" w14:textId="77777777" w:rsidR="00FB08B1" w:rsidRPr="00FB08B1" w:rsidRDefault="00FB08B1" w:rsidP="00FB08B1">
            <w:pPr>
              <w:rPr>
                <w:rFonts w:ascii="Century Gothic" w:hAnsi="Century Gothic"/>
                <w:sz w:val="18"/>
                <w:szCs w:val="18"/>
                <w:lang w:val="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2A61D7" w14:textId="77777777" w:rsidR="00FB08B1" w:rsidRPr="00FB08B1" w:rsidRDefault="00FB08B1" w:rsidP="00FB08B1">
            <w:pPr>
              <w:rPr>
                <w:rFonts w:ascii="Century Gothic" w:hAnsi="Century Gothic"/>
                <w:sz w:val="18"/>
                <w:szCs w:val="18"/>
                <w:lang w:val="en-GB"/>
              </w:rPr>
            </w:pPr>
          </w:p>
        </w:tc>
      </w:tr>
    </w:tbl>
    <w:p w14:paraId="4A653E39" w14:textId="77777777" w:rsidR="00FB08B1" w:rsidRPr="0046599D" w:rsidRDefault="00FB08B1">
      <w:pPr>
        <w:rPr>
          <w:rFonts w:ascii="Century Gothic" w:hAnsi="Century Gothic"/>
          <w:sz w:val="18"/>
          <w:szCs w:val="18"/>
        </w:rPr>
      </w:pPr>
    </w:p>
    <w:p w14:paraId="16ED4F0D" w14:textId="77777777" w:rsidR="00A71F3D" w:rsidRPr="0046599D" w:rsidRDefault="00A71F3D">
      <w:pPr>
        <w:rPr>
          <w:rFonts w:ascii="Century Gothic" w:hAnsi="Century Gothic"/>
          <w:sz w:val="18"/>
          <w:szCs w:val="18"/>
        </w:rPr>
      </w:pPr>
    </w:p>
    <w:p w14:paraId="41ADBFD2" w14:textId="77777777" w:rsidR="00A71F3D" w:rsidRPr="0046599D" w:rsidRDefault="00A71F3D">
      <w:pPr>
        <w:rPr>
          <w:rFonts w:ascii="Century Gothic" w:hAnsi="Century Gothic"/>
          <w:sz w:val="18"/>
          <w:szCs w:val="18"/>
        </w:rPr>
      </w:pPr>
    </w:p>
    <w:p w14:paraId="64196370" w14:textId="77777777" w:rsidR="00A71F3D" w:rsidRPr="0046599D" w:rsidRDefault="00A71F3D">
      <w:pPr>
        <w:rPr>
          <w:rFonts w:ascii="Century Gothic" w:hAnsi="Century Gothic"/>
          <w:sz w:val="18"/>
          <w:szCs w:val="18"/>
        </w:rPr>
      </w:pPr>
    </w:p>
    <w:p w14:paraId="1126FCFD" w14:textId="77777777" w:rsidR="00A71F3D" w:rsidRPr="0046599D" w:rsidRDefault="00A71F3D">
      <w:pPr>
        <w:rPr>
          <w:rFonts w:ascii="Century Gothic" w:hAnsi="Century Gothic"/>
          <w:sz w:val="18"/>
          <w:szCs w:val="18"/>
        </w:rPr>
      </w:pPr>
    </w:p>
    <w:p w14:paraId="41B329A0" w14:textId="77777777" w:rsidR="00A71F3D" w:rsidRDefault="00A71F3D">
      <w:pPr>
        <w:rPr>
          <w:rFonts w:ascii="Century Gothic" w:hAnsi="Century Gothic"/>
          <w:sz w:val="18"/>
          <w:szCs w:val="18"/>
        </w:rPr>
      </w:pPr>
    </w:p>
    <w:p w14:paraId="69BF1C02" w14:textId="77777777" w:rsidR="002837C9" w:rsidRDefault="002837C9">
      <w:pPr>
        <w:rPr>
          <w:rFonts w:ascii="Century Gothic" w:hAnsi="Century Gothic"/>
          <w:sz w:val="18"/>
          <w:szCs w:val="18"/>
        </w:rPr>
      </w:pPr>
    </w:p>
    <w:p w14:paraId="699BE46D" w14:textId="77777777" w:rsidR="002837C9" w:rsidRDefault="002837C9">
      <w:pPr>
        <w:rPr>
          <w:rFonts w:ascii="Century Gothic" w:hAnsi="Century Gothic"/>
          <w:sz w:val="18"/>
          <w:szCs w:val="18"/>
        </w:rPr>
      </w:pPr>
    </w:p>
    <w:p w14:paraId="6B6E0EB3" w14:textId="77777777" w:rsidR="002837C9" w:rsidRDefault="002837C9">
      <w:pPr>
        <w:rPr>
          <w:rFonts w:ascii="Century Gothic" w:hAnsi="Century Gothic"/>
          <w:sz w:val="18"/>
          <w:szCs w:val="18"/>
        </w:rPr>
      </w:pPr>
    </w:p>
    <w:p w14:paraId="6903C334" w14:textId="77777777" w:rsidR="002837C9" w:rsidRDefault="002837C9">
      <w:pPr>
        <w:rPr>
          <w:rFonts w:ascii="Century Gothic" w:hAnsi="Century Gothic"/>
          <w:sz w:val="18"/>
          <w:szCs w:val="18"/>
        </w:rPr>
      </w:pPr>
    </w:p>
    <w:p w14:paraId="3B27B861" w14:textId="77777777" w:rsidR="002837C9" w:rsidRDefault="002837C9">
      <w:pPr>
        <w:rPr>
          <w:rFonts w:ascii="Century Gothic" w:hAnsi="Century Gothic"/>
          <w:sz w:val="18"/>
          <w:szCs w:val="18"/>
        </w:rPr>
      </w:pPr>
    </w:p>
    <w:p w14:paraId="12B9348F" w14:textId="77777777" w:rsidR="002837C9" w:rsidRDefault="002837C9">
      <w:pPr>
        <w:rPr>
          <w:rFonts w:ascii="Century Gothic" w:hAnsi="Century Gothic"/>
          <w:sz w:val="18"/>
          <w:szCs w:val="18"/>
        </w:rPr>
      </w:pPr>
    </w:p>
    <w:p w14:paraId="13DC763A" w14:textId="77777777" w:rsidR="00293DEC" w:rsidRDefault="00293DEC" w:rsidP="00A71F3D">
      <w:pPr>
        <w:rPr>
          <w:rFonts w:ascii="Century Gothic" w:hAnsi="Century Gothic"/>
          <w:sz w:val="18"/>
          <w:szCs w:val="18"/>
        </w:rPr>
      </w:pPr>
    </w:p>
    <w:p w14:paraId="4098DE56" w14:textId="7CD85FB4" w:rsidR="00A71F3D" w:rsidRPr="0046599D" w:rsidRDefault="00A71F3D" w:rsidP="00A71F3D">
      <w:pPr>
        <w:rPr>
          <w:rFonts w:ascii="Century Gothic" w:hAnsi="Century Gothic"/>
          <w:b/>
          <w:bCs/>
          <w:sz w:val="26"/>
          <w:szCs w:val="26"/>
        </w:rPr>
      </w:pPr>
      <w:r w:rsidRPr="0046599D">
        <w:rPr>
          <w:rFonts w:ascii="Century Gothic" w:hAnsi="Century Gothic"/>
          <w:b/>
          <w:bCs/>
          <w:sz w:val="26"/>
          <w:szCs w:val="26"/>
        </w:rPr>
        <w:t xml:space="preserve">Appendix 2 – Responding to </w:t>
      </w:r>
      <w:r w:rsidR="00960397" w:rsidRPr="0046599D">
        <w:rPr>
          <w:rFonts w:ascii="Century Gothic" w:hAnsi="Century Gothic"/>
          <w:b/>
          <w:bCs/>
          <w:sz w:val="26"/>
          <w:szCs w:val="26"/>
        </w:rPr>
        <w:t>Only Safety Incidents</w:t>
      </w:r>
    </w:p>
    <w:p w14:paraId="5FF4777D" w14:textId="76C139D8" w:rsidR="00A71F3D" w:rsidRPr="0046599D" w:rsidRDefault="00A71F3D">
      <w:pPr>
        <w:rPr>
          <w:rFonts w:ascii="Century Gothic" w:hAnsi="Century Gothic"/>
          <w:sz w:val="18"/>
          <w:szCs w:val="18"/>
        </w:rPr>
      </w:pPr>
      <w:r w:rsidRPr="0046599D">
        <w:rPr>
          <w:rFonts w:ascii="Century Gothic" w:eastAsia="Calibri" w:hAnsi="Century Gothic" w:cs="YDUOYF+Frutiger-Roman"/>
          <w:noProof/>
          <w:sz w:val="24"/>
          <w:szCs w:val="24"/>
        </w:rPr>
        <w:drawing>
          <wp:inline distT="0" distB="0" distL="0" distR="0" wp14:anchorId="6DD4FDA4" wp14:editId="1B7E50F0">
            <wp:extent cx="5486400" cy="6521055"/>
            <wp:effectExtent l="0" t="0" r="0" b="0"/>
            <wp:docPr id="16" name="Picture 16" descr="Incident Flowchart Maste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 Flowchart Master Fina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6521055"/>
                    </a:xfrm>
                    <a:prstGeom prst="rect">
                      <a:avLst/>
                    </a:prstGeom>
                    <a:noFill/>
                    <a:ln>
                      <a:noFill/>
                    </a:ln>
                  </pic:spPr>
                </pic:pic>
              </a:graphicData>
            </a:graphic>
          </wp:inline>
        </w:drawing>
      </w:r>
    </w:p>
    <w:p w14:paraId="7E077C41" w14:textId="77777777" w:rsidR="00A71F3D" w:rsidRPr="0046599D" w:rsidRDefault="00A71F3D">
      <w:pPr>
        <w:rPr>
          <w:rFonts w:ascii="Century Gothic" w:hAnsi="Century Gothic"/>
          <w:sz w:val="18"/>
          <w:szCs w:val="18"/>
        </w:rPr>
      </w:pPr>
    </w:p>
    <w:p w14:paraId="4F70998A" w14:textId="77777777" w:rsidR="00A71F3D" w:rsidRPr="0046599D" w:rsidRDefault="00A71F3D">
      <w:pPr>
        <w:rPr>
          <w:rFonts w:ascii="Century Gothic" w:hAnsi="Century Gothic"/>
          <w:sz w:val="18"/>
          <w:szCs w:val="18"/>
        </w:rPr>
      </w:pPr>
    </w:p>
    <w:p w14:paraId="18207882" w14:textId="77777777" w:rsidR="00A71F3D" w:rsidRPr="0046599D" w:rsidRDefault="00A71F3D">
      <w:pPr>
        <w:rPr>
          <w:rFonts w:ascii="Century Gothic" w:hAnsi="Century Gothic"/>
          <w:sz w:val="18"/>
          <w:szCs w:val="18"/>
        </w:rPr>
      </w:pPr>
    </w:p>
    <w:p w14:paraId="5884731A" w14:textId="77777777" w:rsidR="00A71F3D" w:rsidRPr="0046599D" w:rsidRDefault="00A71F3D">
      <w:pPr>
        <w:rPr>
          <w:rFonts w:ascii="Century Gothic" w:hAnsi="Century Gothic"/>
          <w:sz w:val="18"/>
          <w:szCs w:val="18"/>
        </w:rPr>
      </w:pPr>
    </w:p>
    <w:p w14:paraId="06C54633" w14:textId="33191955" w:rsidR="00A71F3D" w:rsidRPr="00A71F3D" w:rsidRDefault="00A71F3D" w:rsidP="00A71F3D">
      <w:pPr>
        <w:rPr>
          <w:rFonts w:ascii="Century Gothic" w:hAnsi="Century Gothic"/>
          <w:b/>
          <w:bCs/>
          <w:sz w:val="26"/>
          <w:szCs w:val="26"/>
        </w:rPr>
      </w:pPr>
      <w:r w:rsidRPr="0046599D">
        <w:rPr>
          <w:rFonts w:ascii="Century Gothic" w:hAnsi="Century Gothic"/>
          <w:b/>
          <w:bCs/>
          <w:sz w:val="26"/>
          <w:szCs w:val="26"/>
        </w:rPr>
        <w:t>Appendix 3 – Staff Incidents and Sanctions</w:t>
      </w:r>
    </w:p>
    <w:tbl>
      <w:tblPr>
        <w:tblW w:w="998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1010"/>
        <w:gridCol w:w="1010"/>
        <w:gridCol w:w="1010"/>
        <w:gridCol w:w="1010"/>
        <w:gridCol w:w="1010"/>
        <w:gridCol w:w="1010"/>
        <w:gridCol w:w="1010"/>
        <w:gridCol w:w="1010"/>
      </w:tblGrid>
      <w:tr w:rsidR="0046599D" w:rsidRPr="0046599D" w14:paraId="074B12DB"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22B631" w14:textId="004D3847" w:rsidR="00A71F3D" w:rsidRPr="00A71F3D" w:rsidRDefault="00A71F3D" w:rsidP="00A71F3D">
            <w:pPr>
              <w:rPr>
                <w:rFonts w:ascii="Century Gothic" w:hAnsi="Century Gothic"/>
                <w:b/>
                <w:bCs/>
                <w:sz w:val="18"/>
                <w:szCs w:val="18"/>
                <w:lang w:val="en-GB"/>
              </w:rPr>
            </w:pPr>
            <w:r w:rsidRPr="00A71F3D">
              <w:rPr>
                <w:rFonts w:ascii="Century Gothic" w:hAnsi="Century Gothic"/>
                <w:b/>
                <w:bCs/>
                <w:sz w:val="18"/>
                <w:szCs w:val="18"/>
                <w:lang w:val="en-GB"/>
              </w:rPr>
              <w:t xml:space="preserve">Staff </w:t>
            </w:r>
            <w:r w:rsidRPr="0046599D">
              <w:rPr>
                <w:rFonts w:ascii="Century Gothic" w:hAnsi="Century Gothic"/>
                <w:b/>
                <w:bCs/>
                <w:sz w:val="18"/>
                <w:szCs w:val="18"/>
                <w:lang w:val="en-GB"/>
              </w:rPr>
              <w:t>Incidents</w:t>
            </w:r>
          </w:p>
        </w:tc>
        <w:tc>
          <w:tcPr>
            <w:tcW w:w="98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3B46153" w14:textId="77777777" w:rsidR="00A71F3D" w:rsidRPr="00A71F3D" w:rsidRDefault="00A71F3D" w:rsidP="00A71F3D">
            <w:pPr>
              <w:rPr>
                <w:rFonts w:ascii="Century Gothic" w:hAnsi="Century Gothic"/>
                <w:b/>
                <w:bCs/>
                <w:sz w:val="18"/>
                <w:szCs w:val="18"/>
                <w:lang w:val="en-GB"/>
              </w:rPr>
            </w:pPr>
            <w:r w:rsidRPr="00A71F3D">
              <w:rPr>
                <w:rFonts w:ascii="Century Gothic" w:hAnsi="Century Gothic"/>
                <w:b/>
                <w:bCs/>
                <w:sz w:val="18"/>
                <w:szCs w:val="18"/>
                <w:lang w:val="en-GB"/>
              </w:rPr>
              <w:t>Refer to Line Manager</w:t>
            </w:r>
          </w:p>
        </w:tc>
        <w:tc>
          <w:tcPr>
            <w:tcW w:w="98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0679BA" w14:textId="77777777" w:rsidR="00A71F3D" w:rsidRPr="00A71F3D" w:rsidRDefault="00A71F3D" w:rsidP="00A71F3D">
            <w:pPr>
              <w:rPr>
                <w:rFonts w:ascii="Century Gothic" w:hAnsi="Century Gothic"/>
                <w:b/>
                <w:bCs/>
                <w:sz w:val="18"/>
                <w:szCs w:val="18"/>
                <w:lang w:val="en-GB"/>
              </w:rPr>
            </w:pPr>
            <w:r w:rsidRPr="00A71F3D">
              <w:rPr>
                <w:rFonts w:ascii="Century Gothic" w:hAnsi="Century Gothic"/>
                <w:b/>
                <w:bCs/>
                <w:sz w:val="18"/>
                <w:szCs w:val="18"/>
                <w:lang w:val="en-GB"/>
              </w:rPr>
              <w:t>Refer to Head Teacher</w:t>
            </w:r>
          </w:p>
        </w:tc>
        <w:tc>
          <w:tcPr>
            <w:tcW w:w="98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578C6D6" w14:textId="77777777" w:rsidR="00A71F3D" w:rsidRPr="00A71F3D" w:rsidRDefault="00A71F3D" w:rsidP="00A71F3D">
            <w:pPr>
              <w:rPr>
                <w:rFonts w:ascii="Century Gothic" w:hAnsi="Century Gothic"/>
                <w:b/>
                <w:bCs/>
                <w:sz w:val="18"/>
                <w:szCs w:val="18"/>
                <w:lang w:val="en-GB"/>
              </w:rPr>
            </w:pPr>
            <w:r w:rsidRPr="00A71F3D">
              <w:rPr>
                <w:rFonts w:ascii="Century Gothic" w:hAnsi="Century Gothic"/>
                <w:b/>
                <w:bCs/>
                <w:sz w:val="18"/>
                <w:szCs w:val="18"/>
                <w:lang w:val="en-GB"/>
              </w:rPr>
              <w:t>Refer to Local Authority / HR</w:t>
            </w:r>
          </w:p>
        </w:tc>
        <w:tc>
          <w:tcPr>
            <w:tcW w:w="98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570D9A8" w14:textId="77777777" w:rsidR="00A71F3D" w:rsidRPr="00A71F3D" w:rsidRDefault="00A71F3D" w:rsidP="00A71F3D">
            <w:pPr>
              <w:rPr>
                <w:rFonts w:ascii="Century Gothic" w:hAnsi="Century Gothic"/>
                <w:b/>
                <w:bCs/>
                <w:sz w:val="18"/>
                <w:szCs w:val="18"/>
                <w:lang w:val="en-GB"/>
              </w:rPr>
            </w:pPr>
            <w:r w:rsidRPr="00A71F3D">
              <w:rPr>
                <w:rFonts w:ascii="Century Gothic" w:hAnsi="Century Gothic"/>
                <w:b/>
                <w:bCs/>
                <w:sz w:val="18"/>
                <w:szCs w:val="18"/>
                <w:lang w:val="en-GB"/>
              </w:rPr>
              <w:t>Refer to Police</w:t>
            </w:r>
          </w:p>
        </w:tc>
        <w:tc>
          <w:tcPr>
            <w:tcW w:w="98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55ADAAD" w14:textId="77777777" w:rsidR="00A71F3D" w:rsidRPr="00A71F3D" w:rsidRDefault="00A71F3D" w:rsidP="00A71F3D">
            <w:pPr>
              <w:rPr>
                <w:rFonts w:ascii="Century Gothic" w:hAnsi="Century Gothic"/>
                <w:b/>
                <w:bCs/>
                <w:sz w:val="18"/>
                <w:szCs w:val="18"/>
                <w:lang w:val="en-GB"/>
              </w:rPr>
            </w:pPr>
            <w:r w:rsidRPr="00A71F3D">
              <w:rPr>
                <w:rFonts w:ascii="Century Gothic" w:hAnsi="Century Gothic"/>
                <w:b/>
                <w:bCs/>
                <w:sz w:val="18"/>
                <w:szCs w:val="18"/>
                <w:lang w:val="en-GB"/>
              </w:rPr>
              <w:t>Refer to Technical Support (filtering, etc.)</w:t>
            </w:r>
          </w:p>
        </w:tc>
        <w:tc>
          <w:tcPr>
            <w:tcW w:w="98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83CDC0" w14:textId="77777777" w:rsidR="00A71F3D" w:rsidRPr="00A71F3D" w:rsidRDefault="00A71F3D" w:rsidP="00A71F3D">
            <w:pPr>
              <w:rPr>
                <w:rFonts w:ascii="Century Gothic" w:hAnsi="Century Gothic"/>
                <w:b/>
                <w:bCs/>
                <w:sz w:val="18"/>
                <w:szCs w:val="18"/>
                <w:lang w:val="en-GB"/>
              </w:rPr>
            </w:pPr>
            <w:r w:rsidRPr="00A71F3D">
              <w:rPr>
                <w:rFonts w:ascii="Century Gothic" w:hAnsi="Century Gothic"/>
                <w:b/>
                <w:bCs/>
                <w:sz w:val="18"/>
                <w:szCs w:val="18"/>
                <w:lang w:val="en-GB"/>
              </w:rPr>
              <w:t>Warning</w:t>
            </w:r>
          </w:p>
        </w:tc>
        <w:tc>
          <w:tcPr>
            <w:tcW w:w="98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07933B7" w14:textId="77777777" w:rsidR="00A71F3D" w:rsidRPr="00A71F3D" w:rsidRDefault="00A71F3D" w:rsidP="00A71F3D">
            <w:pPr>
              <w:rPr>
                <w:rFonts w:ascii="Century Gothic" w:hAnsi="Century Gothic"/>
                <w:b/>
                <w:bCs/>
                <w:sz w:val="16"/>
                <w:szCs w:val="16"/>
                <w:lang w:val="en-GB"/>
              </w:rPr>
            </w:pPr>
            <w:r w:rsidRPr="00A71F3D">
              <w:rPr>
                <w:rFonts w:ascii="Century Gothic" w:hAnsi="Century Gothic"/>
                <w:b/>
                <w:bCs/>
                <w:sz w:val="16"/>
                <w:szCs w:val="16"/>
                <w:lang w:val="en-GB"/>
              </w:rPr>
              <w:t>Suspension</w:t>
            </w:r>
          </w:p>
        </w:tc>
        <w:tc>
          <w:tcPr>
            <w:tcW w:w="96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C1BBB6" w14:textId="77777777" w:rsidR="00A71F3D" w:rsidRPr="00A71F3D" w:rsidRDefault="00A71F3D" w:rsidP="00A71F3D">
            <w:pPr>
              <w:rPr>
                <w:rFonts w:ascii="Century Gothic" w:hAnsi="Century Gothic"/>
                <w:b/>
                <w:bCs/>
                <w:sz w:val="18"/>
                <w:szCs w:val="18"/>
                <w:lang w:val="en-GB"/>
              </w:rPr>
            </w:pPr>
            <w:r w:rsidRPr="00A71F3D">
              <w:rPr>
                <w:rFonts w:ascii="Century Gothic" w:hAnsi="Century Gothic"/>
                <w:b/>
                <w:bCs/>
                <w:sz w:val="16"/>
                <w:szCs w:val="16"/>
                <w:lang w:val="en-GB"/>
              </w:rPr>
              <w:t>Disciplinary Action</w:t>
            </w:r>
          </w:p>
        </w:tc>
      </w:tr>
      <w:tr w:rsidR="0046599D" w:rsidRPr="0046599D" w14:paraId="21C6BF62"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1F17F3"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Deliberately accessing or attempting to access illegal material</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1E6AE8D" w14:textId="77777777" w:rsidR="00A71F3D" w:rsidRPr="00A71F3D" w:rsidRDefault="00A71F3D" w:rsidP="00A71F3D">
            <w:pPr>
              <w:rPr>
                <w:rFonts w:ascii="Century Gothic" w:hAnsi="Century Gothic"/>
                <w:b/>
                <w:bCs/>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9C338EF"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16BD6E7"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12050F5"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FCE965A"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36AE240"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67665C7" w14:textId="77777777" w:rsidR="00A71F3D" w:rsidRPr="00A71F3D" w:rsidRDefault="00A71F3D" w:rsidP="00A71F3D">
            <w:pPr>
              <w:rPr>
                <w:rFonts w:ascii="Century Gothic" w:hAnsi="Century Gothic"/>
                <w:sz w:val="18"/>
                <w:szCs w:val="18"/>
                <w:lang w:val="en-GB"/>
              </w:rPr>
            </w:pP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072B436F"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r>
      <w:tr w:rsidR="0046599D" w:rsidRPr="0046599D" w14:paraId="34033E59"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0A8E612"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Inappropriate personal use of the internet / social media / personal email</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A8F27B7"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0F375E3"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6FE8092"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2C974BAA"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33E7E71"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F858C0B"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15A576A" w14:textId="77777777" w:rsidR="00A71F3D" w:rsidRPr="00A71F3D" w:rsidRDefault="00A71F3D" w:rsidP="00A71F3D">
            <w:pPr>
              <w:rPr>
                <w:rFonts w:ascii="Century Gothic" w:hAnsi="Century Gothic"/>
                <w:sz w:val="18"/>
                <w:szCs w:val="18"/>
                <w:lang w:val="en-GB"/>
              </w:rPr>
            </w:pP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11D85A0C" w14:textId="77777777" w:rsidR="00A71F3D" w:rsidRPr="00A71F3D" w:rsidRDefault="00A71F3D" w:rsidP="00A71F3D">
            <w:pPr>
              <w:rPr>
                <w:rFonts w:ascii="Century Gothic" w:hAnsi="Century Gothic"/>
                <w:sz w:val="18"/>
                <w:szCs w:val="18"/>
                <w:lang w:val="en-GB"/>
              </w:rPr>
            </w:pPr>
          </w:p>
        </w:tc>
      </w:tr>
      <w:tr w:rsidR="0046599D" w:rsidRPr="0046599D" w14:paraId="5DCFEDB6"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B7BBAD0"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Unauthorised downloading or uploading of files</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4BABFA3"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B56B6A5"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8A99707"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D13E57F"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F581FF1"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2CE1C1E"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819943F" w14:textId="77777777" w:rsidR="00A71F3D" w:rsidRPr="00A71F3D" w:rsidRDefault="00A71F3D" w:rsidP="00A71F3D">
            <w:pPr>
              <w:rPr>
                <w:rFonts w:ascii="Century Gothic" w:hAnsi="Century Gothic"/>
                <w:sz w:val="18"/>
                <w:szCs w:val="18"/>
                <w:lang w:val="en-GB"/>
              </w:rPr>
            </w:pP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08591D91" w14:textId="77777777" w:rsidR="00A71F3D" w:rsidRPr="00A71F3D" w:rsidRDefault="00A71F3D" w:rsidP="00A71F3D">
            <w:pPr>
              <w:rPr>
                <w:rFonts w:ascii="Century Gothic" w:hAnsi="Century Gothic"/>
                <w:sz w:val="18"/>
                <w:szCs w:val="18"/>
                <w:lang w:val="en-GB"/>
              </w:rPr>
            </w:pPr>
          </w:p>
        </w:tc>
      </w:tr>
      <w:tr w:rsidR="0046599D" w:rsidRPr="0046599D" w14:paraId="136BE010"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CDF3523"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Careless handling of personal data (e.g., insecure storage or transfer)</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A064745"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DE90DD1"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0C3C60B"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19179E6"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4FE4798"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A0D604C"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E34016E" w14:textId="77777777" w:rsidR="00A71F3D" w:rsidRPr="00A71F3D" w:rsidRDefault="00A71F3D" w:rsidP="00A71F3D">
            <w:pPr>
              <w:rPr>
                <w:rFonts w:ascii="Century Gothic" w:hAnsi="Century Gothic"/>
                <w:sz w:val="18"/>
                <w:szCs w:val="18"/>
                <w:lang w:val="en-GB"/>
              </w:rPr>
            </w:pP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7C2786D0" w14:textId="77777777" w:rsidR="00A71F3D" w:rsidRPr="00A71F3D" w:rsidRDefault="00A71F3D" w:rsidP="00A71F3D">
            <w:pPr>
              <w:rPr>
                <w:rFonts w:ascii="Century Gothic" w:hAnsi="Century Gothic"/>
                <w:sz w:val="18"/>
                <w:szCs w:val="18"/>
                <w:lang w:val="en-GB"/>
              </w:rPr>
            </w:pPr>
          </w:p>
        </w:tc>
      </w:tr>
      <w:tr w:rsidR="0046599D" w:rsidRPr="0046599D" w14:paraId="1CA9A939"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C7F7B17"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Deliberate breach of data protection or network security rules</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1A1DA74"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2946575A"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A91EEEA"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B874AF8"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053DC45"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C36042E"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F4B2CA1"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61FC071C" w14:textId="77777777" w:rsidR="00A71F3D" w:rsidRPr="00A71F3D" w:rsidRDefault="00A71F3D" w:rsidP="00A71F3D">
            <w:pPr>
              <w:rPr>
                <w:rFonts w:ascii="Century Gothic" w:hAnsi="Century Gothic"/>
                <w:sz w:val="18"/>
                <w:szCs w:val="18"/>
                <w:lang w:val="en-GB"/>
              </w:rPr>
            </w:pPr>
          </w:p>
        </w:tc>
      </w:tr>
      <w:tr w:rsidR="0046599D" w:rsidRPr="0046599D" w14:paraId="182450B7"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CDA056" w14:textId="556FC86E"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Corrupting/</w:t>
            </w:r>
            <w:r w:rsidR="0046599D" w:rsidRPr="0046599D">
              <w:rPr>
                <w:rFonts w:ascii="Century Gothic" w:hAnsi="Century Gothic"/>
                <w:sz w:val="18"/>
                <w:szCs w:val="18"/>
                <w:lang w:val="en-GB"/>
              </w:rPr>
              <w:br/>
            </w:r>
            <w:r w:rsidRPr="00A71F3D">
              <w:rPr>
                <w:rFonts w:ascii="Century Gothic" w:hAnsi="Century Gothic"/>
                <w:sz w:val="18"/>
                <w:szCs w:val="18"/>
                <w:lang w:val="en-GB"/>
              </w:rPr>
              <w:t>damaging data, hardware, or software</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28CD8A8"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2060A7EF"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7173BE4"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16158EC"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E9D06F6"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920F22B"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FF73D8E"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1B013393" w14:textId="77777777" w:rsidR="00A71F3D" w:rsidRPr="00A71F3D" w:rsidRDefault="00A71F3D" w:rsidP="00A71F3D">
            <w:pPr>
              <w:rPr>
                <w:rFonts w:ascii="Century Gothic" w:hAnsi="Century Gothic"/>
                <w:sz w:val="18"/>
                <w:szCs w:val="18"/>
                <w:lang w:val="en-GB"/>
              </w:rPr>
            </w:pPr>
          </w:p>
        </w:tc>
      </w:tr>
      <w:tr w:rsidR="0046599D" w:rsidRPr="0046599D" w14:paraId="7459BA56"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4394CCE"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Sending offensive / harassing / bullying messages</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54449E2"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7D35525"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1763173"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E53EDC8"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4D5E5CD"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CDDC2A4"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280C6E6"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115B3DAC" w14:textId="77777777" w:rsidR="00A71F3D" w:rsidRPr="00A71F3D" w:rsidRDefault="00A71F3D" w:rsidP="00A71F3D">
            <w:pPr>
              <w:rPr>
                <w:rFonts w:ascii="Century Gothic" w:hAnsi="Century Gothic"/>
                <w:sz w:val="18"/>
                <w:szCs w:val="18"/>
                <w:lang w:val="en-GB"/>
              </w:rPr>
            </w:pPr>
          </w:p>
        </w:tc>
      </w:tr>
      <w:tr w:rsidR="0046599D" w:rsidRPr="0046599D" w14:paraId="798F146E"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14E60B1"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lastRenderedPageBreak/>
              <w:t>Using personal email or messaging/social media to communicate with pupils</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26E02C10"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107196A"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866A272"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472A5F6"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D55BCB4"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D34F797"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40B5084"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711CD11C" w14:textId="77777777" w:rsidR="00A71F3D" w:rsidRPr="00A71F3D" w:rsidRDefault="00A71F3D" w:rsidP="00A71F3D">
            <w:pPr>
              <w:rPr>
                <w:rFonts w:ascii="Century Gothic" w:hAnsi="Century Gothic"/>
                <w:sz w:val="18"/>
                <w:szCs w:val="18"/>
                <w:lang w:val="en-GB"/>
              </w:rPr>
            </w:pPr>
          </w:p>
        </w:tc>
      </w:tr>
      <w:tr w:rsidR="0046599D" w:rsidRPr="0046599D" w14:paraId="4B14705E"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10FCA82"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Actions compromising professional standing</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5D88B28"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F5F64A2"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9A47DC2"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6794C52"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2671E59E"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A82B3BD"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3365598" w14:textId="77777777" w:rsidR="00A71F3D" w:rsidRPr="00A71F3D" w:rsidRDefault="00A71F3D" w:rsidP="00A71F3D">
            <w:pPr>
              <w:rPr>
                <w:rFonts w:ascii="Century Gothic" w:hAnsi="Century Gothic"/>
                <w:sz w:val="18"/>
                <w:szCs w:val="18"/>
                <w:lang w:val="en-GB"/>
              </w:rPr>
            </w:pP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567E6C7A"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r>
      <w:tr w:rsidR="0046599D" w:rsidRPr="0046599D" w14:paraId="6B0A8718"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A27B424"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Actions bringing the school into disrepute or breaching school ethos</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036BBCC"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ECF381C"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EA84A17"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92F0582"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BF32C0F"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AEE2180"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2C88147A"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7B865226" w14:textId="77777777" w:rsidR="00A71F3D" w:rsidRPr="00A71F3D" w:rsidRDefault="00A71F3D" w:rsidP="00A71F3D">
            <w:pPr>
              <w:rPr>
                <w:rFonts w:ascii="Century Gothic" w:hAnsi="Century Gothic"/>
                <w:sz w:val="18"/>
                <w:szCs w:val="18"/>
                <w:lang w:val="en-GB"/>
              </w:rPr>
            </w:pPr>
          </w:p>
        </w:tc>
      </w:tr>
      <w:tr w:rsidR="0046599D" w:rsidRPr="0046599D" w14:paraId="22E7B526"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DED9756"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Using proxy sites / other means to bypass school filtering</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ED37C35"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250DF69"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3979730"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98FD052"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D37C95B"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03493A7"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C116793"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22BF608D" w14:textId="77777777" w:rsidR="00A71F3D" w:rsidRPr="00A71F3D" w:rsidRDefault="00A71F3D" w:rsidP="00A71F3D">
            <w:pPr>
              <w:rPr>
                <w:rFonts w:ascii="Century Gothic" w:hAnsi="Century Gothic"/>
                <w:sz w:val="18"/>
                <w:szCs w:val="18"/>
                <w:lang w:val="en-GB"/>
              </w:rPr>
            </w:pPr>
          </w:p>
        </w:tc>
      </w:tr>
      <w:tr w:rsidR="0046599D" w:rsidRPr="0046599D" w14:paraId="111A6A04"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E1D47ED" w14:textId="29736DCF"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Accidentally accessing offensive/</w:t>
            </w:r>
            <w:r w:rsidRPr="0046599D">
              <w:rPr>
                <w:rFonts w:ascii="Century Gothic" w:hAnsi="Century Gothic"/>
                <w:sz w:val="18"/>
                <w:szCs w:val="18"/>
                <w:lang w:val="en-GB"/>
              </w:rPr>
              <w:br/>
            </w:r>
            <w:r w:rsidRPr="00A71F3D">
              <w:rPr>
                <w:rFonts w:ascii="Century Gothic" w:hAnsi="Century Gothic"/>
                <w:sz w:val="18"/>
                <w:szCs w:val="18"/>
                <w:lang w:val="en-GB"/>
              </w:rPr>
              <w:t>pornographic material AND failing to report it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45D0FC3"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1327C4F"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8D7E60D"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DA1443C"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EC37E86"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CD9B484"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6EF23FC"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4F447A73" w14:textId="77777777" w:rsidR="00A71F3D" w:rsidRPr="00A71F3D" w:rsidRDefault="00A71F3D" w:rsidP="00A71F3D">
            <w:pPr>
              <w:rPr>
                <w:rFonts w:ascii="Century Gothic" w:hAnsi="Century Gothic"/>
                <w:sz w:val="18"/>
                <w:szCs w:val="18"/>
                <w:lang w:val="en-GB"/>
              </w:rPr>
            </w:pPr>
          </w:p>
        </w:tc>
      </w:tr>
      <w:tr w:rsidR="0046599D" w:rsidRPr="0046599D" w14:paraId="4F0DE4D6"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D61E5EF"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Deliberately accessing offensive or pornographic material</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FBECA6D"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0568B82E"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D6E6480"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2F124749"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B458B9E"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60A0CE7"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2A9DF853"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094C4C0B"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r>
      <w:tr w:rsidR="0046599D" w:rsidRPr="0046599D" w14:paraId="005C51E7"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310D156"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Breaching copyright or licensing conditions</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73BCA27"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BC701F2"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CA2A191"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61D0CDF"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73838EA4"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19041C4C"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4DBE46AE" w14:textId="77777777" w:rsidR="00A71F3D" w:rsidRPr="00A71F3D" w:rsidRDefault="00A71F3D" w:rsidP="00A71F3D">
            <w:pPr>
              <w:rPr>
                <w:rFonts w:ascii="Century Gothic" w:hAnsi="Century Gothic"/>
                <w:sz w:val="18"/>
                <w:szCs w:val="18"/>
                <w:lang w:val="en-GB"/>
              </w:rPr>
            </w:pP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17AA6E76" w14:textId="77777777" w:rsidR="00A71F3D" w:rsidRPr="00A71F3D" w:rsidRDefault="00A71F3D" w:rsidP="00A71F3D">
            <w:pPr>
              <w:rPr>
                <w:rFonts w:ascii="Century Gothic" w:hAnsi="Century Gothic"/>
                <w:sz w:val="18"/>
                <w:szCs w:val="18"/>
                <w:lang w:val="en-GB"/>
              </w:rPr>
            </w:pPr>
          </w:p>
        </w:tc>
      </w:tr>
      <w:tr w:rsidR="0046599D" w:rsidRPr="0046599D" w14:paraId="7236464D" w14:textId="77777777" w:rsidTr="00A71F3D">
        <w:trPr>
          <w:tblCellSpacing w:w="15" w:type="dxa"/>
        </w:trPr>
        <w:tc>
          <w:tcPr>
            <w:tcW w:w="185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0BEC4C3" w14:textId="77777777" w:rsidR="00A71F3D" w:rsidRPr="00A71F3D" w:rsidRDefault="00A71F3D" w:rsidP="00A71F3D">
            <w:pPr>
              <w:rPr>
                <w:rFonts w:ascii="Century Gothic" w:hAnsi="Century Gothic"/>
                <w:sz w:val="18"/>
                <w:szCs w:val="18"/>
                <w:lang w:val="en-GB"/>
              </w:rPr>
            </w:pPr>
            <w:r w:rsidRPr="00A71F3D">
              <w:rPr>
                <w:rFonts w:ascii="Century Gothic" w:hAnsi="Century Gothic"/>
                <w:sz w:val="18"/>
                <w:szCs w:val="18"/>
                <w:lang w:val="en-GB"/>
              </w:rPr>
              <w:t>Repeated infringements after warnings/sanctions</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18F4F5F"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1E4D257"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26643D9"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3845B96B"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5E712B0"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6CC4DB74" w14:textId="77777777" w:rsidR="00A71F3D" w:rsidRPr="00A71F3D" w:rsidRDefault="00A71F3D" w:rsidP="00A71F3D">
            <w:pPr>
              <w:rPr>
                <w:rFonts w:ascii="Century Gothic" w:hAnsi="Century Gothic"/>
                <w:sz w:val="18"/>
                <w:szCs w:val="18"/>
                <w:lang w:val="en-GB"/>
              </w:rPr>
            </w:pPr>
          </w:p>
        </w:tc>
        <w:tc>
          <w:tcPr>
            <w:tcW w:w="980" w:type="dxa"/>
            <w:tcBorders>
              <w:top w:val="single" w:sz="6" w:space="0" w:color="E6E6E6"/>
              <w:left w:val="single" w:sz="6" w:space="0" w:color="E6E6E6"/>
              <w:bottom w:val="single" w:sz="6" w:space="0" w:color="E6E6E6"/>
              <w:right w:val="single" w:sz="6" w:space="0" w:color="E6E6E6"/>
            </w:tcBorders>
            <w:vAlign w:val="center"/>
            <w:hideMark/>
          </w:tcPr>
          <w:p w14:paraId="5723D219"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c>
          <w:tcPr>
            <w:tcW w:w="965" w:type="dxa"/>
            <w:tcBorders>
              <w:top w:val="single" w:sz="6" w:space="0" w:color="E6E6E6"/>
              <w:left w:val="single" w:sz="6" w:space="0" w:color="E6E6E6"/>
              <w:bottom w:val="single" w:sz="6" w:space="0" w:color="E6E6E6"/>
              <w:right w:val="single" w:sz="6" w:space="0" w:color="E6E6E6"/>
            </w:tcBorders>
            <w:vAlign w:val="center"/>
            <w:hideMark/>
          </w:tcPr>
          <w:p w14:paraId="143FE4B9" w14:textId="77777777" w:rsidR="00A71F3D" w:rsidRPr="00A71F3D" w:rsidRDefault="00A71F3D" w:rsidP="00A71F3D">
            <w:pPr>
              <w:rPr>
                <w:rFonts w:ascii="Century Gothic" w:hAnsi="Century Gothic"/>
                <w:sz w:val="18"/>
                <w:szCs w:val="18"/>
                <w:lang w:val="en-GB"/>
              </w:rPr>
            </w:pPr>
            <w:r w:rsidRPr="00A71F3D">
              <w:rPr>
                <w:rFonts w:ascii="Segoe UI Symbol" w:hAnsi="Segoe UI Symbol" w:cs="Segoe UI Symbol"/>
                <w:sz w:val="18"/>
                <w:szCs w:val="18"/>
                <w:lang w:val="en-GB"/>
              </w:rPr>
              <w:t>✔</w:t>
            </w:r>
          </w:p>
        </w:tc>
      </w:tr>
    </w:tbl>
    <w:p w14:paraId="05606E2F" w14:textId="77777777" w:rsidR="00A71F3D" w:rsidRPr="0046599D" w:rsidRDefault="00A71F3D">
      <w:pPr>
        <w:rPr>
          <w:rFonts w:ascii="Century Gothic" w:hAnsi="Century Gothic"/>
          <w:sz w:val="18"/>
          <w:szCs w:val="18"/>
        </w:rPr>
      </w:pPr>
    </w:p>
    <w:sectPr w:rsidR="00A71F3D" w:rsidRPr="0046599D" w:rsidSect="00034616">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35F5" w14:textId="77777777" w:rsidR="00293DEC" w:rsidRDefault="00293DEC" w:rsidP="00293DEC">
      <w:pPr>
        <w:spacing w:after="0" w:line="240" w:lineRule="auto"/>
      </w:pPr>
      <w:r>
        <w:separator/>
      </w:r>
    </w:p>
  </w:endnote>
  <w:endnote w:type="continuationSeparator" w:id="0">
    <w:p w14:paraId="64DA71F4" w14:textId="77777777" w:rsidR="00293DEC" w:rsidRDefault="00293DEC" w:rsidP="00293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DUOYF+Frutiger-Roman">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541457"/>
      <w:docPartObj>
        <w:docPartGallery w:val="Page Numbers (Bottom of Page)"/>
        <w:docPartUnique/>
      </w:docPartObj>
    </w:sdtPr>
    <w:sdtEndPr>
      <w:rPr>
        <w:noProof/>
      </w:rPr>
    </w:sdtEndPr>
    <w:sdtContent>
      <w:p w14:paraId="2323FF52" w14:textId="32B74480" w:rsidR="00293DEC" w:rsidRDefault="00293D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4BFFE" w14:textId="77777777" w:rsidR="00293DEC" w:rsidRDefault="00293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7824" w14:textId="77777777" w:rsidR="00293DEC" w:rsidRDefault="00293DEC" w:rsidP="00293DEC">
      <w:pPr>
        <w:spacing w:after="0" w:line="240" w:lineRule="auto"/>
      </w:pPr>
      <w:r>
        <w:separator/>
      </w:r>
    </w:p>
  </w:footnote>
  <w:footnote w:type="continuationSeparator" w:id="0">
    <w:p w14:paraId="06B6F8C6" w14:textId="77777777" w:rsidR="00293DEC" w:rsidRDefault="00293DEC" w:rsidP="00293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8D239B"/>
    <w:multiLevelType w:val="hybridMultilevel"/>
    <w:tmpl w:val="EC1EE86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15:restartNumberingAfterBreak="0">
    <w:nsid w:val="5A9B2B4E"/>
    <w:multiLevelType w:val="hybridMultilevel"/>
    <w:tmpl w:val="395C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F51864D8"/>
    <w:lvl w:ilvl="0" w:tplc="08090001">
      <w:start w:val="1"/>
      <w:numFmt w:val="bullet"/>
      <w:lvlText w:val=""/>
      <w:lvlJc w:val="left"/>
      <w:pPr>
        <w:ind w:left="879" w:hanging="170"/>
      </w:pPr>
      <w:rPr>
        <w:rFonts w:ascii="Symbol" w:hAnsi="Symbol" w:hint="default"/>
        <w:color w:val="auto"/>
      </w:rPr>
    </w:lvl>
    <w:lvl w:ilvl="1" w:tplc="08090003">
      <w:start w:val="1"/>
      <w:numFmt w:val="bullet"/>
      <w:lvlText w:val="o"/>
      <w:lvlJc w:val="left"/>
      <w:pPr>
        <w:ind w:left="1809" w:hanging="360"/>
      </w:pPr>
      <w:rPr>
        <w:rFonts w:ascii="Courier New" w:hAnsi="Courier New" w:cs="Courier New" w:hint="default"/>
      </w:rPr>
    </w:lvl>
    <w:lvl w:ilvl="2" w:tplc="08090005">
      <w:start w:val="1"/>
      <w:numFmt w:val="bullet"/>
      <w:lvlText w:val=""/>
      <w:lvlJc w:val="left"/>
      <w:pPr>
        <w:ind w:left="2529" w:hanging="360"/>
      </w:pPr>
      <w:rPr>
        <w:rFonts w:ascii="Wingdings" w:hAnsi="Wingdings" w:hint="default"/>
      </w:rPr>
    </w:lvl>
    <w:lvl w:ilvl="3" w:tplc="08090001">
      <w:start w:val="1"/>
      <w:numFmt w:val="bullet"/>
      <w:lvlText w:val=""/>
      <w:lvlJc w:val="left"/>
      <w:pPr>
        <w:ind w:left="3249" w:hanging="360"/>
      </w:pPr>
      <w:rPr>
        <w:rFonts w:ascii="Symbol" w:hAnsi="Symbol" w:hint="default"/>
      </w:rPr>
    </w:lvl>
    <w:lvl w:ilvl="4" w:tplc="08090003">
      <w:start w:val="1"/>
      <w:numFmt w:val="bullet"/>
      <w:lvlText w:val="o"/>
      <w:lvlJc w:val="left"/>
      <w:pPr>
        <w:ind w:left="3969" w:hanging="360"/>
      </w:pPr>
      <w:rPr>
        <w:rFonts w:ascii="Courier New" w:hAnsi="Courier New" w:cs="Courier New" w:hint="default"/>
      </w:rPr>
    </w:lvl>
    <w:lvl w:ilvl="5" w:tplc="08090005">
      <w:start w:val="1"/>
      <w:numFmt w:val="bullet"/>
      <w:lvlText w:val=""/>
      <w:lvlJc w:val="left"/>
      <w:pPr>
        <w:ind w:left="4689" w:hanging="360"/>
      </w:pPr>
      <w:rPr>
        <w:rFonts w:ascii="Wingdings" w:hAnsi="Wingdings" w:hint="default"/>
      </w:rPr>
    </w:lvl>
    <w:lvl w:ilvl="6" w:tplc="08090001">
      <w:start w:val="1"/>
      <w:numFmt w:val="bullet"/>
      <w:lvlText w:val=""/>
      <w:lvlJc w:val="left"/>
      <w:pPr>
        <w:ind w:left="5409" w:hanging="360"/>
      </w:pPr>
      <w:rPr>
        <w:rFonts w:ascii="Symbol" w:hAnsi="Symbol" w:hint="default"/>
      </w:rPr>
    </w:lvl>
    <w:lvl w:ilvl="7" w:tplc="08090003">
      <w:start w:val="1"/>
      <w:numFmt w:val="bullet"/>
      <w:lvlText w:val="o"/>
      <w:lvlJc w:val="left"/>
      <w:pPr>
        <w:ind w:left="6129" w:hanging="360"/>
      </w:pPr>
      <w:rPr>
        <w:rFonts w:ascii="Courier New" w:hAnsi="Courier New" w:cs="Courier New" w:hint="default"/>
      </w:rPr>
    </w:lvl>
    <w:lvl w:ilvl="8" w:tplc="08090005">
      <w:start w:val="1"/>
      <w:numFmt w:val="bullet"/>
      <w:lvlText w:val=""/>
      <w:lvlJc w:val="left"/>
      <w:pPr>
        <w:ind w:left="6849" w:hanging="360"/>
      </w:pPr>
      <w:rPr>
        <w:rFonts w:ascii="Wingdings" w:hAnsi="Wingdings" w:hint="default"/>
      </w:rPr>
    </w:lvl>
  </w:abstractNum>
  <w:num w:numId="1" w16cid:durableId="1355301755">
    <w:abstractNumId w:val="8"/>
  </w:num>
  <w:num w:numId="2" w16cid:durableId="2025785972">
    <w:abstractNumId w:val="6"/>
  </w:num>
  <w:num w:numId="3" w16cid:durableId="1782647622">
    <w:abstractNumId w:val="5"/>
  </w:num>
  <w:num w:numId="4" w16cid:durableId="1391346405">
    <w:abstractNumId w:val="4"/>
  </w:num>
  <w:num w:numId="5" w16cid:durableId="413475236">
    <w:abstractNumId w:val="7"/>
  </w:num>
  <w:num w:numId="6" w16cid:durableId="854073594">
    <w:abstractNumId w:val="3"/>
  </w:num>
  <w:num w:numId="7" w16cid:durableId="1864324140">
    <w:abstractNumId w:val="2"/>
  </w:num>
  <w:num w:numId="8" w16cid:durableId="1938051918">
    <w:abstractNumId w:val="1"/>
  </w:num>
  <w:num w:numId="9" w16cid:durableId="2082555855">
    <w:abstractNumId w:val="0"/>
  </w:num>
  <w:num w:numId="10" w16cid:durableId="462576406">
    <w:abstractNumId w:val="9"/>
  </w:num>
  <w:num w:numId="11" w16cid:durableId="621695167">
    <w:abstractNumId w:val="11"/>
  </w:num>
  <w:num w:numId="12" w16cid:durableId="113988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415"/>
    <w:rsid w:val="0015074B"/>
    <w:rsid w:val="00196AEC"/>
    <w:rsid w:val="001C59AA"/>
    <w:rsid w:val="001C5ACE"/>
    <w:rsid w:val="001F642D"/>
    <w:rsid w:val="002165A2"/>
    <w:rsid w:val="002837C9"/>
    <w:rsid w:val="00293DEC"/>
    <w:rsid w:val="0029639D"/>
    <w:rsid w:val="00322891"/>
    <w:rsid w:val="00326F90"/>
    <w:rsid w:val="00357801"/>
    <w:rsid w:val="003F699D"/>
    <w:rsid w:val="00423858"/>
    <w:rsid w:val="0046599D"/>
    <w:rsid w:val="004C4692"/>
    <w:rsid w:val="004E2CC2"/>
    <w:rsid w:val="0052036D"/>
    <w:rsid w:val="00694491"/>
    <w:rsid w:val="00864B3A"/>
    <w:rsid w:val="0088448C"/>
    <w:rsid w:val="00900048"/>
    <w:rsid w:val="00960397"/>
    <w:rsid w:val="00960A68"/>
    <w:rsid w:val="009F04DC"/>
    <w:rsid w:val="00A71F3D"/>
    <w:rsid w:val="00AA1D8D"/>
    <w:rsid w:val="00AD0FD9"/>
    <w:rsid w:val="00B47730"/>
    <w:rsid w:val="00B5753A"/>
    <w:rsid w:val="00BF74EA"/>
    <w:rsid w:val="00CB0664"/>
    <w:rsid w:val="00CF4888"/>
    <w:rsid w:val="00DB36B4"/>
    <w:rsid w:val="00E024C7"/>
    <w:rsid w:val="00E43AB6"/>
    <w:rsid w:val="00F30013"/>
    <w:rsid w:val="00FB08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95C350"/>
  <w14:defaultImageDpi w14:val="300"/>
  <w15:docId w15:val="{547B9CF7-C112-4E0C-B183-F4E943E6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4Bulletedcopyblue">
    <w:name w:val="4 Bulleted copy blue"/>
    <w:basedOn w:val="Normal"/>
    <w:qFormat/>
    <w:rsid w:val="001C5ACE"/>
    <w:pPr>
      <w:spacing w:after="120" w:line="240" w:lineRule="auto"/>
    </w:pPr>
    <w:rPr>
      <w:rFonts w:ascii="Arial" w:eastAsia="MS Mincho" w:hAnsi="Arial" w:cs="Arial"/>
      <w:sz w:val="20"/>
      <w:szCs w:val="20"/>
    </w:rPr>
  </w:style>
  <w:style w:type="character" w:customStyle="1" w:styleId="Subhead2Char">
    <w:name w:val="Subhead 2 Char"/>
    <w:link w:val="Subhead2"/>
    <w:locked/>
    <w:rsid w:val="001C5ACE"/>
    <w:rPr>
      <w:rFonts w:ascii="MS Mincho" w:eastAsia="MS Mincho"/>
      <w:b/>
      <w:color w:val="12263F"/>
      <w:sz w:val="24"/>
      <w:szCs w:val="24"/>
    </w:rPr>
  </w:style>
  <w:style w:type="paragraph" w:customStyle="1" w:styleId="Subhead2">
    <w:name w:val="Subhead 2"/>
    <w:basedOn w:val="Normal"/>
    <w:next w:val="Normal"/>
    <w:link w:val="Subhead2Char"/>
    <w:qFormat/>
    <w:rsid w:val="001C5ACE"/>
    <w:pPr>
      <w:spacing w:before="240" w:after="120" w:line="240" w:lineRule="auto"/>
    </w:pPr>
    <w:rPr>
      <w:rFonts w:ascii="MS Mincho" w:eastAsia="MS Mincho"/>
      <w:b/>
      <w:color w:val="12263F"/>
      <w:sz w:val="24"/>
      <w:szCs w:val="24"/>
    </w:rPr>
  </w:style>
  <w:style w:type="character" w:customStyle="1" w:styleId="1bodycopy10ptChar">
    <w:name w:val="1 body copy 10pt Char"/>
    <w:link w:val="1bodycopy10pt"/>
    <w:locked/>
    <w:rsid w:val="001C5ACE"/>
    <w:rPr>
      <w:rFonts w:ascii="MS Mincho" w:eastAsia="MS Mincho"/>
      <w:szCs w:val="24"/>
    </w:rPr>
  </w:style>
  <w:style w:type="paragraph" w:customStyle="1" w:styleId="1bodycopy10pt">
    <w:name w:val="1 body copy 10pt"/>
    <w:basedOn w:val="Normal"/>
    <w:link w:val="1bodycopy10ptChar"/>
    <w:qFormat/>
    <w:rsid w:val="001C5ACE"/>
    <w:pPr>
      <w:spacing w:after="120" w:line="240" w:lineRule="auto"/>
    </w:pPr>
    <w:rPr>
      <w:rFonts w:ascii="MS Mincho" w:eastAsia="MS Mincho"/>
      <w:szCs w:val="24"/>
    </w:rPr>
  </w:style>
  <w:style w:type="character" w:styleId="Hyperlink">
    <w:name w:val="Hyperlink"/>
    <w:uiPriority w:val="99"/>
    <w:unhideWhenUsed/>
    <w:qFormat/>
    <w:rsid w:val="001C5ACE"/>
    <w:rPr>
      <w:color w:val="0072CC"/>
      <w:u w:val="single"/>
    </w:rPr>
  </w:style>
  <w:style w:type="character" w:styleId="FollowedHyperlink">
    <w:name w:val="FollowedHyperlink"/>
    <w:basedOn w:val="DefaultParagraphFont"/>
    <w:uiPriority w:val="99"/>
    <w:semiHidden/>
    <w:unhideWhenUsed/>
    <w:rsid w:val="00BF74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6021">
      <w:bodyDiv w:val="1"/>
      <w:marLeft w:val="0"/>
      <w:marRight w:val="0"/>
      <w:marTop w:val="0"/>
      <w:marBottom w:val="0"/>
      <w:divBdr>
        <w:top w:val="none" w:sz="0" w:space="0" w:color="auto"/>
        <w:left w:val="none" w:sz="0" w:space="0" w:color="auto"/>
        <w:bottom w:val="none" w:sz="0" w:space="0" w:color="auto"/>
        <w:right w:val="none" w:sz="0" w:space="0" w:color="auto"/>
      </w:divBdr>
      <w:divsChild>
        <w:div w:id="2128890845">
          <w:marLeft w:val="0"/>
          <w:marRight w:val="0"/>
          <w:marTop w:val="0"/>
          <w:marBottom w:val="0"/>
          <w:divBdr>
            <w:top w:val="none" w:sz="0" w:space="0" w:color="auto"/>
            <w:left w:val="none" w:sz="0" w:space="0" w:color="auto"/>
            <w:bottom w:val="none" w:sz="0" w:space="0" w:color="auto"/>
            <w:right w:val="none" w:sz="0" w:space="0" w:color="auto"/>
          </w:divBdr>
        </w:div>
      </w:divsChild>
    </w:div>
    <w:div w:id="223106610">
      <w:bodyDiv w:val="1"/>
      <w:marLeft w:val="0"/>
      <w:marRight w:val="0"/>
      <w:marTop w:val="0"/>
      <w:marBottom w:val="0"/>
      <w:divBdr>
        <w:top w:val="none" w:sz="0" w:space="0" w:color="auto"/>
        <w:left w:val="none" w:sz="0" w:space="0" w:color="auto"/>
        <w:bottom w:val="none" w:sz="0" w:space="0" w:color="auto"/>
        <w:right w:val="none" w:sz="0" w:space="0" w:color="auto"/>
      </w:divBdr>
      <w:divsChild>
        <w:div w:id="292910976">
          <w:marLeft w:val="0"/>
          <w:marRight w:val="0"/>
          <w:marTop w:val="0"/>
          <w:marBottom w:val="0"/>
          <w:divBdr>
            <w:top w:val="none" w:sz="0" w:space="0" w:color="auto"/>
            <w:left w:val="none" w:sz="0" w:space="0" w:color="auto"/>
            <w:bottom w:val="none" w:sz="0" w:space="0" w:color="auto"/>
            <w:right w:val="none" w:sz="0" w:space="0" w:color="auto"/>
          </w:divBdr>
          <w:divsChild>
            <w:div w:id="2542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1012">
      <w:bodyDiv w:val="1"/>
      <w:marLeft w:val="0"/>
      <w:marRight w:val="0"/>
      <w:marTop w:val="0"/>
      <w:marBottom w:val="0"/>
      <w:divBdr>
        <w:top w:val="none" w:sz="0" w:space="0" w:color="auto"/>
        <w:left w:val="none" w:sz="0" w:space="0" w:color="auto"/>
        <w:bottom w:val="none" w:sz="0" w:space="0" w:color="auto"/>
        <w:right w:val="none" w:sz="0" w:space="0" w:color="auto"/>
      </w:divBdr>
      <w:divsChild>
        <w:div w:id="1161655418">
          <w:marLeft w:val="0"/>
          <w:marRight w:val="0"/>
          <w:marTop w:val="0"/>
          <w:marBottom w:val="0"/>
          <w:divBdr>
            <w:top w:val="none" w:sz="0" w:space="0" w:color="auto"/>
            <w:left w:val="none" w:sz="0" w:space="0" w:color="auto"/>
            <w:bottom w:val="none" w:sz="0" w:space="0" w:color="auto"/>
            <w:right w:val="none" w:sz="0" w:space="0" w:color="auto"/>
          </w:divBdr>
        </w:div>
      </w:divsChild>
    </w:div>
    <w:div w:id="726606196">
      <w:bodyDiv w:val="1"/>
      <w:marLeft w:val="0"/>
      <w:marRight w:val="0"/>
      <w:marTop w:val="0"/>
      <w:marBottom w:val="0"/>
      <w:divBdr>
        <w:top w:val="none" w:sz="0" w:space="0" w:color="auto"/>
        <w:left w:val="none" w:sz="0" w:space="0" w:color="auto"/>
        <w:bottom w:val="none" w:sz="0" w:space="0" w:color="auto"/>
        <w:right w:val="none" w:sz="0" w:space="0" w:color="auto"/>
      </w:divBdr>
      <w:divsChild>
        <w:div w:id="1201937981">
          <w:marLeft w:val="0"/>
          <w:marRight w:val="0"/>
          <w:marTop w:val="0"/>
          <w:marBottom w:val="0"/>
          <w:divBdr>
            <w:top w:val="none" w:sz="0" w:space="0" w:color="auto"/>
            <w:left w:val="none" w:sz="0" w:space="0" w:color="auto"/>
            <w:bottom w:val="none" w:sz="0" w:space="0" w:color="auto"/>
            <w:right w:val="none" w:sz="0" w:space="0" w:color="auto"/>
          </w:divBdr>
          <w:divsChild>
            <w:div w:id="10386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0714">
      <w:bodyDiv w:val="1"/>
      <w:marLeft w:val="0"/>
      <w:marRight w:val="0"/>
      <w:marTop w:val="0"/>
      <w:marBottom w:val="0"/>
      <w:divBdr>
        <w:top w:val="none" w:sz="0" w:space="0" w:color="auto"/>
        <w:left w:val="none" w:sz="0" w:space="0" w:color="auto"/>
        <w:bottom w:val="none" w:sz="0" w:space="0" w:color="auto"/>
        <w:right w:val="none" w:sz="0" w:space="0" w:color="auto"/>
      </w:divBdr>
      <w:divsChild>
        <w:div w:id="743456757">
          <w:marLeft w:val="0"/>
          <w:marRight w:val="0"/>
          <w:marTop w:val="0"/>
          <w:marBottom w:val="0"/>
          <w:divBdr>
            <w:top w:val="none" w:sz="0" w:space="0" w:color="auto"/>
            <w:left w:val="none" w:sz="0" w:space="0" w:color="auto"/>
            <w:bottom w:val="none" w:sz="0" w:space="0" w:color="auto"/>
            <w:right w:val="none" w:sz="0" w:space="0" w:color="auto"/>
          </w:divBdr>
          <w:divsChild>
            <w:div w:id="17609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9154">
      <w:bodyDiv w:val="1"/>
      <w:marLeft w:val="0"/>
      <w:marRight w:val="0"/>
      <w:marTop w:val="0"/>
      <w:marBottom w:val="0"/>
      <w:divBdr>
        <w:top w:val="none" w:sz="0" w:space="0" w:color="auto"/>
        <w:left w:val="none" w:sz="0" w:space="0" w:color="auto"/>
        <w:bottom w:val="none" w:sz="0" w:space="0" w:color="auto"/>
        <w:right w:val="none" w:sz="0" w:space="0" w:color="auto"/>
      </w:divBdr>
      <w:divsChild>
        <w:div w:id="1645085782">
          <w:marLeft w:val="0"/>
          <w:marRight w:val="0"/>
          <w:marTop w:val="0"/>
          <w:marBottom w:val="0"/>
          <w:divBdr>
            <w:top w:val="none" w:sz="0" w:space="0" w:color="auto"/>
            <w:left w:val="none" w:sz="0" w:space="0" w:color="auto"/>
            <w:bottom w:val="none" w:sz="0" w:space="0" w:color="auto"/>
            <w:right w:val="none" w:sz="0" w:space="0" w:color="auto"/>
          </w:divBdr>
        </w:div>
      </w:divsChild>
    </w:div>
    <w:div w:id="1542277831">
      <w:bodyDiv w:val="1"/>
      <w:marLeft w:val="0"/>
      <w:marRight w:val="0"/>
      <w:marTop w:val="0"/>
      <w:marBottom w:val="0"/>
      <w:divBdr>
        <w:top w:val="none" w:sz="0" w:space="0" w:color="auto"/>
        <w:left w:val="none" w:sz="0" w:space="0" w:color="auto"/>
        <w:bottom w:val="none" w:sz="0" w:space="0" w:color="auto"/>
        <w:right w:val="none" w:sz="0" w:space="0" w:color="auto"/>
      </w:divBdr>
      <w:divsChild>
        <w:div w:id="1187672491">
          <w:marLeft w:val="0"/>
          <w:marRight w:val="0"/>
          <w:marTop w:val="0"/>
          <w:marBottom w:val="0"/>
          <w:divBdr>
            <w:top w:val="none" w:sz="0" w:space="0" w:color="auto"/>
            <w:left w:val="none" w:sz="0" w:space="0" w:color="auto"/>
            <w:bottom w:val="none" w:sz="0" w:space="0" w:color="auto"/>
            <w:right w:val="none" w:sz="0" w:space="0" w:color="auto"/>
          </w:divBdr>
          <w:divsChild>
            <w:div w:id="2550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4175">
      <w:bodyDiv w:val="1"/>
      <w:marLeft w:val="0"/>
      <w:marRight w:val="0"/>
      <w:marTop w:val="0"/>
      <w:marBottom w:val="0"/>
      <w:divBdr>
        <w:top w:val="none" w:sz="0" w:space="0" w:color="auto"/>
        <w:left w:val="none" w:sz="0" w:space="0" w:color="auto"/>
        <w:bottom w:val="none" w:sz="0" w:space="0" w:color="auto"/>
        <w:right w:val="none" w:sz="0" w:space="0" w:color="auto"/>
      </w:divBdr>
      <w:divsChild>
        <w:div w:id="1672367736">
          <w:marLeft w:val="0"/>
          <w:marRight w:val="0"/>
          <w:marTop w:val="0"/>
          <w:marBottom w:val="0"/>
          <w:divBdr>
            <w:top w:val="none" w:sz="0" w:space="0" w:color="auto"/>
            <w:left w:val="none" w:sz="0" w:space="0" w:color="auto"/>
            <w:bottom w:val="none" w:sz="0" w:space="0" w:color="auto"/>
            <w:right w:val="none" w:sz="0" w:space="0" w:color="auto"/>
          </w:divBdr>
        </w:div>
      </w:divsChild>
    </w:div>
    <w:div w:id="1710300047">
      <w:bodyDiv w:val="1"/>
      <w:marLeft w:val="0"/>
      <w:marRight w:val="0"/>
      <w:marTop w:val="0"/>
      <w:marBottom w:val="0"/>
      <w:divBdr>
        <w:top w:val="none" w:sz="0" w:space="0" w:color="auto"/>
        <w:left w:val="none" w:sz="0" w:space="0" w:color="auto"/>
        <w:bottom w:val="none" w:sz="0" w:space="0" w:color="auto"/>
        <w:right w:val="none" w:sz="0" w:space="0" w:color="auto"/>
      </w:divBdr>
      <w:divsChild>
        <w:div w:id="1011301730">
          <w:marLeft w:val="0"/>
          <w:marRight w:val="0"/>
          <w:marTop w:val="0"/>
          <w:marBottom w:val="0"/>
          <w:divBdr>
            <w:top w:val="none" w:sz="0" w:space="0" w:color="auto"/>
            <w:left w:val="none" w:sz="0" w:space="0" w:color="auto"/>
            <w:bottom w:val="none" w:sz="0" w:space="0" w:color="auto"/>
            <w:right w:val="none" w:sz="0" w:space="0" w:color="auto"/>
          </w:divBdr>
        </w:div>
      </w:divsChild>
    </w:div>
    <w:div w:id="1727413090">
      <w:bodyDiv w:val="1"/>
      <w:marLeft w:val="0"/>
      <w:marRight w:val="0"/>
      <w:marTop w:val="0"/>
      <w:marBottom w:val="0"/>
      <w:divBdr>
        <w:top w:val="none" w:sz="0" w:space="0" w:color="auto"/>
        <w:left w:val="none" w:sz="0" w:space="0" w:color="auto"/>
        <w:bottom w:val="none" w:sz="0" w:space="0" w:color="auto"/>
        <w:right w:val="none" w:sz="0" w:space="0" w:color="auto"/>
      </w:divBdr>
      <w:divsChild>
        <w:div w:id="63938690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www.legislation.gov.uk/ukpga/2011/21/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hyperlink" Target="https://www.legislation.gov.uk/ukpga/2010/15/contents" TargetMode="External"/><Relationship Id="rId2" Type="http://schemas.openxmlformats.org/officeDocument/2006/relationships/numbering" Target="numbering.xml"/><Relationship Id="rId16" Type="http://schemas.openxmlformats.org/officeDocument/2006/relationships/hyperlink" Target="https://www.legislation.gov.uk/ukpga/2006/40/cont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eventing-and-tackling-bullying" TargetMode="External"/><Relationship Id="rId5" Type="http://schemas.openxmlformats.org/officeDocument/2006/relationships/webSettings" Target="webSettings.xml"/><Relationship Id="rId15" Type="http://schemas.openxmlformats.org/officeDocument/2006/relationships/hyperlink" Target="https://www.legislation.gov.uk/ukpga/1996/56/contents" TargetMode="External"/><Relationship Id="rId10" Type="http://schemas.openxmlformats.org/officeDocument/2006/relationships/hyperlink" Target="https://www.gov.uk/government/publications/preventing-and-tackling-bullying"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gov.uk/government/publications/teaching-online-safety-in-schools" TargetMode="External"/><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9</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Robinson, David</cp:lastModifiedBy>
  <cp:revision>16</cp:revision>
  <cp:lastPrinted>2026-02-09T11:02:00Z</cp:lastPrinted>
  <dcterms:created xsi:type="dcterms:W3CDTF">2026-01-26T13:47:00Z</dcterms:created>
  <dcterms:modified xsi:type="dcterms:W3CDTF">2026-02-09T13:05:00Z</dcterms:modified>
  <cp:category/>
</cp:coreProperties>
</file>