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EB4F" w14:textId="43B8D980" w:rsidR="001B74C1" w:rsidRPr="0030095E" w:rsidRDefault="0030095E" w:rsidP="001B74C1">
      <w:pPr>
        <w:pStyle w:val="Heading3"/>
        <w:jc w:val="center"/>
        <w:rPr>
          <w:color w:val="F36F2B" w:themeColor="accent1"/>
          <w:sz w:val="32"/>
          <w:szCs w:val="32"/>
        </w:rPr>
      </w:pPr>
      <w:r w:rsidRPr="0030095E">
        <w:rPr>
          <w:color w:val="F36F2B" w:themeColor="accent1"/>
          <w:sz w:val="32"/>
          <w:szCs w:val="32"/>
        </w:rPr>
        <w:t xml:space="preserve">Service Agreement </w:t>
      </w:r>
      <w:r w:rsidR="001B74C1" w:rsidRPr="0030095E">
        <w:rPr>
          <w:color w:val="F36F2B" w:themeColor="accent1"/>
          <w:sz w:val="32"/>
          <w:szCs w:val="32"/>
        </w:rPr>
        <w:t>Application Form</w:t>
      </w:r>
    </w:p>
    <w:p w14:paraId="04BBF834" w14:textId="765F2431" w:rsidR="001B74C1" w:rsidRPr="0030095E" w:rsidRDefault="001B74C1" w:rsidP="001B74C1">
      <w:pPr>
        <w:pStyle w:val="Heading3"/>
        <w:jc w:val="center"/>
        <w:rPr>
          <w:color w:val="F36F2B" w:themeColor="accent1"/>
          <w:sz w:val="32"/>
          <w:szCs w:val="32"/>
        </w:rPr>
      </w:pPr>
      <w:r w:rsidRPr="0030095E">
        <w:rPr>
          <w:color w:val="F36F2B" w:themeColor="accent1"/>
          <w:sz w:val="32"/>
          <w:szCs w:val="32"/>
        </w:rPr>
        <w:t>202</w:t>
      </w:r>
      <w:r w:rsidR="00B93B8E" w:rsidRPr="0030095E">
        <w:rPr>
          <w:color w:val="F36F2B" w:themeColor="accent1"/>
          <w:sz w:val="32"/>
          <w:szCs w:val="32"/>
        </w:rPr>
        <w:t>1</w:t>
      </w:r>
      <w:r w:rsidRPr="0030095E">
        <w:rPr>
          <w:color w:val="F36F2B" w:themeColor="accent1"/>
          <w:sz w:val="32"/>
          <w:szCs w:val="32"/>
        </w:rPr>
        <w:t>/202</w:t>
      </w:r>
      <w:r w:rsidR="00B93B8E" w:rsidRPr="0030095E">
        <w:rPr>
          <w:color w:val="F36F2B" w:themeColor="accent1"/>
          <w:sz w:val="32"/>
          <w:szCs w:val="32"/>
        </w:rPr>
        <w:t>2</w:t>
      </w:r>
    </w:p>
    <w:tbl>
      <w:tblPr>
        <w:tblStyle w:val="TableGrid"/>
        <w:tblW w:w="9606" w:type="dxa"/>
        <w:tblLook w:val="04A0" w:firstRow="1" w:lastRow="0" w:firstColumn="1" w:lastColumn="0" w:noHBand="0" w:noVBand="1"/>
      </w:tblPr>
      <w:tblGrid>
        <w:gridCol w:w="4503"/>
        <w:gridCol w:w="3685"/>
        <w:gridCol w:w="1418"/>
      </w:tblGrid>
      <w:tr w:rsidR="001B74C1" w:rsidRPr="001B74C1" w14:paraId="3DA604FC" w14:textId="77777777" w:rsidTr="0030095E">
        <w:trPr>
          <w:trHeight w:val="851"/>
        </w:trPr>
        <w:tc>
          <w:tcPr>
            <w:tcW w:w="4503" w:type="dxa"/>
            <w:shd w:val="clear" w:color="auto" w:fill="002060"/>
            <w:vAlign w:val="center"/>
          </w:tcPr>
          <w:p w14:paraId="3A2D8B17" w14:textId="77777777" w:rsidR="001B74C1" w:rsidRPr="0030095E" w:rsidRDefault="001B74C1" w:rsidP="001B74C1">
            <w:pPr>
              <w:jc w:val="center"/>
              <w:rPr>
                <w:b/>
                <w:color w:val="F36F2B" w:themeColor="accent1"/>
                <w:lang w:bidi="en-GB"/>
              </w:rPr>
            </w:pPr>
            <w:r w:rsidRPr="0030095E">
              <w:rPr>
                <w:b/>
                <w:color w:val="F36F2B" w:themeColor="accent1"/>
                <w:lang w:bidi="en-GB"/>
              </w:rPr>
              <w:t>Service</w:t>
            </w:r>
          </w:p>
        </w:tc>
        <w:tc>
          <w:tcPr>
            <w:tcW w:w="3685" w:type="dxa"/>
            <w:shd w:val="clear" w:color="auto" w:fill="002060"/>
            <w:vAlign w:val="center"/>
          </w:tcPr>
          <w:p w14:paraId="003DC94A" w14:textId="77777777" w:rsidR="001B74C1" w:rsidRPr="0030095E" w:rsidRDefault="001B74C1" w:rsidP="001B74C1">
            <w:pPr>
              <w:jc w:val="center"/>
              <w:rPr>
                <w:b/>
                <w:color w:val="F36F2B" w:themeColor="accent1"/>
                <w:lang w:bidi="en-GB"/>
              </w:rPr>
            </w:pPr>
            <w:r w:rsidRPr="0030095E">
              <w:rPr>
                <w:b/>
                <w:color w:val="F36F2B" w:themeColor="accent1"/>
                <w:lang w:bidi="en-GB"/>
              </w:rPr>
              <w:t>Cost</w:t>
            </w:r>
          </w:p>
        </w:tc>
        <w:tc>
          <w:tcPr>
            <w:tcW w:w="1418" w:type="dxa"/>
            <w:shd w:val="clear" w:color="auto" w:fill="002060"/>
            <w:vAlign w:val="center"/>
          </w:tcPr>
          <w:p w14:paraId="5D5FC218" w14:textId="77777777" w:rsidR="001B74C1" w:rsidRPr="0030095E" w:rsidRDefault="001B74C1" w:rsidP="001B74C1">
            <w:pPr>
              <w:jc w:val="center"/>
              <w:rPr>
                <w:b/>
                <w:color w:val="F36F2B" w:themeColor="accent1"/>
                <w:lang w:bidi="en-GB"/>
              </w:rPr>
            </w:pPr>
            <w:r w:rsidRPr="0030095E">
              <w:rPr>
                <w:b/>
                <w:color w:val="F36F2B" w:themeColor="accent1"/>
                <w:lang w:bidi="en-GB"/>
              </w:rPr>
              <w:t>Tick to Select</w:t>
            </w:r>
          </w:p>
        </w:tc>
      </w:tr>
      <w:tr w:rsidR="001B74C1" w:rsidRPr="001B74C1" w14:paraId="626661D1" w14:textId="77777777" w:rsidTr="00791508">
        <w:trPr>
          <w:trHeight w:val="851"/>
        </w:trPr>
        <w:tc>
          <w:tcPr>
            <w:tcW w:w="4503" w:type="dxa"/>
            <w:vAlign w:val="bottom"/>
          </w:tcPr>
          <w:p w14:paraId="251A1FD9" w14:textId="77777777" w:rsidR="001B74C1" w:rsidRPr="001B74C1" w:rsidRDefault="001B74C1" w:rsidP="001B74C1">
            <w:pPr>
              <w:rPr>
                <w:lang w:bidi="en-GB"/>
              </w:rPr>
            </w:pPr>
            <w:r w:rsidRPr="001B74C1">
              <w:rPr>
                <w:lang w:bidi="en-GB"/>
              </w:rPr>
              <w:t>Core Christian Distinctiveness Support</w:t>
            </w:r>
          </w:p>
        </w:tc>
        <w:tc>
          <w:tcPr>
            <w:tcW w:w="3685" w:type="dxa"/>
            <w:vAlign w:val="bottom"/>
          </w:tcPr>
          <w:p w14:paraId="76449BAC" w14:textId="0F7B7A6E" w:rsidR="001B74C1" w:rsidRPr="001B74C1" w:rsidRDefault="001B74C1" w:rsidP="001B74C1">
            <w:pPr>
              <w:rPr>
                <w:lang w:bidi="en-GB"/>
              </w:rPr>
            </w:pPr>
            <w:r w:rsidRPr="001B74C1">
              <w:rPr>
                <w:lang w:bidi="en-GB"/>
              </w:rPr>
              <w:t>Price b</w:t>
            </w:r>
            <w:r w:rsidR="00606EF4">
              <w:rPr>
                <w:lang w:bidi="en-GB"/>
              </w:rPr>
              <w:t>ased on pupil numbers 01/01/202</w:t>
            </w:r>
            <w:r w:rsidR="00483FEE">
              <w:rPr>
                <w:lang w:bidi="en-GB"/>
              </w:rPr>
              <w:t>1</w:t>
            </w:r>
          </w:p>
        </w:tc>
        <w:tc>
          <w:tcPr>
            <w:tcW w:w="1418" w:type="dxa"/>
            <w:vAlign w:val="center"/>
          </w:tcPr>
          <w:p w14:paraId="41151F81" w14:textId="77777777" w:rsidR="001B74C1" w:rsidRPr="001B74C1" w:rsidRDefault="001B74C1" w:rsidP="001B74C1">
            <w:pPr>
              <w:rPr>
                <w:lang w:bidi="en-GB"/>
              </w:rPr>
            </w:pPr>
          </w:p>
        </w:tc>
      </w:tr>
      <w:tr w:rsidR="001B74C1" w:rsidRPr="001B74C1" w14:paraId="395C007B" w14:textId="77777777" w:rsidTr="00791508">
        <w:trPr>
          <w:trHeight w:val="1819"/>
        </w:trPr>
        <w:tc>
          <w:tcPr>
            <w:tcW w:w="4503" w:type="dxa"/>
            <w:vAlign w:val="bottom"/>
          </w:tcPr>
          <w:p w14:paraId="0CC3737C" w14:textId="7AAB0331" w:rsidR="001B74C1" w:rsidRPr="001B74C1" w:rsidRDefault="0032671D" w:rsidP="001B74C1">
            <w:pPr>
              <w:rPr>
                <w:lang w:bidi="en-GB"/>
              </w:rPr>
            </w:pPr>
            <w:r>
              <w:rPr>
                <w:lang w:bidi="en-GB"/>
              </w:rPr>
              <w:t>Please provide details of any ‘p</w:t>
            </w:r>
            <w:r w:rsidR="001B74C1" w:rsidRPr="001B74C1">
              <w:rPr>
                <w:lang w:bidi="en-GB"/>
              </w:rPr>
              <w:t>ay as you use’ services required.</w:t>
            </w:r>
          </w:p>
          <w:p w14:paraId="41320662" w14:textId="77777777" w:rsidR="001B74C1" w:rsidRPr="001B74C1" w:rsidRDefault="001B74C1" w:rsidP="001B74C1">
            <w:pPr>
              <w:rPr>
                <w:lang w:bidi="en-GB"/>
              </w:rPr>
            </w:pPr>
          </w:p>
        </w:tc>
        <w:tc>
          <w:tcPr>
            <w:tcW w:w="3685" w:type="dxa"/>
            <w:vAlign w:val="bottom"/>
          </w:tcPr>
          <w:p w14:paraId="372BA921" w14:textId="77777777" w:rsidR="001B74C1" w:rsidRPr="001B74C1" w:rsidRDefault="001B74C1" w:rsidP="001B74C1">
            <w:pPr>
              <w:rPr>
                <w:lang w:bidi="en-GB"/>
              </w:rPr>
            </w:pPr>
          </w:p>
        </w:tc>
        <w:tc>
          <w:tcPr>
            <w:tcW w:w="1418" w:type="dxa"/>
            <w:vAlign w:val="center"/>
          </w:tcPr>
          <w:p w14:paraId="2104346D" w14:textId="77777777" w:rsidR="001B74C1" w:rsidRPr="001B74C1" w:rsidRDefault="001B74C1" w:rsidP="001B74C1">
            <w:pPr>
              <w:rPr>
                <w:lang w:bidi="en-GB"/>
              </w:rPr>
            </w:pPr>
          </w:p>
        </w:tc>
      </w:tr>
      <w:tr w:rsidR="001B74C1" w:rsidRPr="001B74C1" w14:paraId="195D64C8" w14:textId="77777777" w:rsidTr="00791508">
        <w:trPr>
          <w:trHeight w:val="851"/>
        </w:trPr>
        <w:tc>
          <w:tcPr>
            <w:tcW w:w="4503" w:type="dxa"/>
            <w:vAlign w:val="bottom"/>
          </w:tcPr>
          <w:p w14:paraId="198B4215" w14:textId="77777777" w:rsidR="001B74C1" w:rsidRPr="001B74C1" w:rsidRDefault="001B74C1" w:rsidP="001B74C1">
            <w:pPr>
              <w:rPr>
                <w:lang w:bidi="en-GB"/>
              </w:rPr>
            </w:pPr>
            <w:r w:rsidRPr="001B74C1">
              <w:rPr>
                <w:lang w:bidi="en-GB"/>
              </w:rPr>
              <w:t>Multi Academy Trust bespoke agreement</w:t>
            </w:r>
          </w:p>
        </w:tc>
        <w:tc>
          <w:tcPr>
            <w:tcW w:w="3685" w:type="dxa"/>
            <w:vAlign w:val="bottom"/>
          </w:tcPr>
          <w:p w14:paraId="0E72D97A" w14:textId="77777777" w:rsidR="001B74C1" w:rsidRPr="001B74C1" w:rsidRDefault="001B74C1" w:rsidP="001B74C1">
            <w:pPr>
              <w:rPr>
                <w:lang w:bidi="en-GB"/>
              </w:rPr>
            </w:pPr>
            <w:r w:rsidRPr="001B74C1">
              <w:rPr>
                <w:lang w:bidi="en-GB"/>
              </w:rPr>
              <w:t>As per quote provided</w:t>
            </w:r>
          </w:p>
        </w:tc>
        <w:tc>
          <w:tcPr>
            <w:tcW w:w="1418" w:type="dxa"/>
            <w:vAlign w:val="center"/>
          </w:tcPr>
          <w:p w14:paraId="670DD97C" w14:textId="77777777" w:rsidR="001B74C1" w:rsidRPr="001B74C1" w:rsidRDefault="001B74C1" w:rsidP="001B74C1">
            <w:pPr>
              <w:rPr>
                <w:lang w:bidi="en-GB"/>
              </w:rPr>
            </w:pPr>
          </w:p>
        </w:tc>
      </w:tr>
    </w:tbl>
    <w:p w14:paraId="2EF0145D" w14:textId="77777777" w:rsidR="001B74C1" w:rsidRPr="001B74C1" w:rsidRDefault="001B74C1" w:rsidP="001B74C1">
      <w:pPr>
        <w:rPr>
          <w:iCs/>
          <w:lang w:val="en-US"/>
        </w:rPr>
      </w:pPr>
    </w:p>
    <w:tbl>
      <w:tblPr>
        <w:tblStyle w:val="TableGrid"/>
        <w:tblW w:w="9606" w:type="dxa"/>
        <w:tblLook w:val="04A0" w:firstRow="1" w:lastRow="0" w:firstColumn="1" w:lastColumn="0" w:noHBand="0" w:noVBand="1"/>
      </w:tblPr>
      <w:tblGrid>
        <w:gridCol w:w="3652"/>
        <w:gridCol w:w="5954"/>
      </w:tblGrid>
      <w:tr w:rsidR="001B74C1" w:rsidRPr="001B74C1" w14:paraId="45353E3C" w14:textId="77777777" w:rsidTr="00791508">
        <w:trPr>
          <w:trHeight w:val="851"/>
        </w:trPr>
        <w:tc>
          <w:tcPr>
            <w:tcW w:w="3652" w:type="dxa"/>
            <w:vAlign w:val="center"/>
          </w:tcPr>
          <w:p w14:paraId="4B4A071B" w14:textId="77777777" w:rsidR="001B74C1" w:rsidRPr="001B74C1" w:rsidRDefault="001B74C1" w:rsidP="001B74C1">
            <w:pPr>
              <w:rPr>
                <w:iCs/>
                <w:lang w:val="en-US"/>
              </w:rPr>
            </w:pPr>
            <w:r w:rsidRPr="001B74C1">
              <w:rPr>
                <w:iCs/>
                <w:lang w:val="en-US"/>
              </w:rPr>
              <w:t>School/Academy/Trust Name</w:t>
            </w:r>
          </w:p>
        </w:tc>
        <w:tc>
          <w:tcPr>
            <w:tcW w:w="5954" w:type="dxa"/>
            <w:vAlign w:val="bottom"/>
          </w:tcPr>
          <w:p w14:paraId="71FF700C" w14:textId="77777777" w:rsidR="001B74C1" w:rsidRPr="001B74C1" w:rsidRDefault="001B74C1" w:rsidP="001B74C1">
            <w:pPr>
              <w:rPr>
                <w:iCs/>
                <w:lang w:val="en-US"/>
              </w:rPr>
            </w:pPr>
          </w:p>
          <w:p w14:paraId="6F7A6302" w14:textId="77777777" w:rsidR="001B74C1" w:rsidRPr="001B74C1" w:rsidRDefault="001B74C1" w:rsidP="001B74C1">
            <w:pPr>
              <w:rPr>
                <w:iCs/>
                <w:lang w:val="en-US"/>
              </w:rPr>
            </w:pPr>
          </w:p>
        </w:tc>
      </w:tr>
      <w:tr w:rsidR="001B74C1" w:rsidRPr="001B74C1" w14:paraId="661B41A7" w14:textId="77777777" w:rsidTr="00791508">
        <w:trPr>
          <w:trHeight w:val="851"/>
        </w:trPr>
        <w:tc>
          <w:tcPr>
            <w:tcW w:w="3652" w:type="dxa"/>
            <w:vAlign w:val="center"/>
          </w:tcPr>
          <w:p w14:paraId="26A15D0A" w14:textId="77777777" w:rsidR="001B74C1" w:rsidRPr="001B74C1" w:rsidRDefault="001B74C1" w:rsidP="001B74C1">
            <w:pPr>
              <w:rPr>
                <w:iCs/>
                <w:lang w:val="en-US"/>
              </w:rPr>
            </w:pPr>
            <w:r w:rsidRPr="001B74C1">
              <w:rPr>
                <w:iCs/>
                <w:lang w:val="en-US"/>
              </w:rPr>
              <w:t xml:space="preserve">Name and Address for invoicing </w:t>
            </w:r>
          </w:p>
        </w:tc>
        <w:tc>
          <w:tcPr>
            <w:tcW w:w="5954" w:type="dxa"/>
            <w:vAlign w:val="bottom"/>
          </w:tcPr>
          <w:p w14:paraId="177B08ED" w14:textId="77777777" w:rsidR="001B74C1" w:rsidRPr="001B74C1" w:rsidRDefault="001B74C1" w:rsidP="001B74C1">
            <w:pPr>
              <w:rPr>
                <w:iCs/>
                <w:lang w:val="en-US"/>
              </w:rPr>
            </w:pPr>
          </w:p>
          <w:p w14:paraId="661219BA" w14:textId="77777777" w:rsidR="001B74C1" w:rsidRPr="001B74C1" w:rsidRDefault="001B74C1" w:rsidP="001B74C1">
            <w:pPr>
              <w:rPr>
                <w:iCs/>
                <w:lang w:val="en-US"/>
              </w:rPr>
            </w:pPr>
          </w:p>
          <w:p w14:paraId="5F71E629" w14:textId="77777777" w:rsidR="001B74C1" w:rsidRPr="001B74C1" w:rsidRDefault="001B74C1" w:rsidP="001B74C1">
            <w:pPr>
              <w:rPr>
                <w:iCs/>
                <w:lang w:val="en-US"/>
              </w:rPr>
            </w:pPr>
          </w:p>
          <w:p w14:paraId="2F979AD2" w14:textId="77777777" w:rsidR="001B74C1" w:rsidRPr="001B74C1" w:rsidRDefault="001B74C1" w:rsidP="001B74C1">
            <w:pPr>
              <w:rPr>
                <w:iCs/>
                <w:lang w:val="en-US"/>
              </w:rPr>
            </w:pPr>
          </w:p>
        </w:tc>
      </w:tr>
      <w:tr w:rsidR="001B74C1" w:rsidRPr="001B74C1" w14:paraId="684C018D" w14:textId="77777777" w:rsidTr="00791508">
        <w:trPr>
          <w:trHeight w:val="851"/>
        </w:trPr>
        <w:tc>
          <w:tcPr>
            <w:tcW w:w="3652" w:type="dxa"/>
            <w:vAlign w:val="center"/>
          </w:tcPr>
          <w:p w14:paraId="3EB29BEE" w14:textId="77777777" w:rsidR="001B74C1" w:rsidRPr="001B74C1" w:rsidRDefault="001B74C1" w:rsidP="001B74C1">
            <w:pPr>
              <w:rPr>
                <w:iCs/>
                <w:lang w:val="en-US"/>
              </w:rPr>
            </w:pPr>
            <w:r w:rsidRPr="001B74C1">
              <w:rPr>
                <w:iCs/>
                <w:lang w:val="en-US"/>
              </w:rPr>
              <w:t>Signed (Head/Principal/CEO)</w:t>
            </w:r>
          </w:p>
        </w:tc>
        <w:tc>
          <w:tcPr>
            <w:tcW w:w="5954" w:type="dxa"/>
            <w:vAlign w:val="bottom"/>
          </w:tcPr>
          <w:p w14:paraId="6514C164" w14:textId="77777777" w:rsidR="001B74C1" w:rsidRPr="001B74C1" w:rsidRDefault="001B74C1" w:rsidP="001B74C1">
            <w:pPr>
              <w:rPr>
                <w:iCs/>
                <w:lang w:val="en-US"/>
              </w:rPr>
            </w:pPr>
          </w:p>
        </w:tc>
      </w:tr>
    </w:tbl>
    <w:p w14:paraId="44E1A3A5" w14:textId="77777777" w:rsidR="001B74C1" w:rsidRPr="001B74C1" w:rsidRDefault="001B74C1" w:rsidP="00791508">
      <w:pPr>
        <w:spacing w:after="0"/>
        <w:rPr>
          <w:iCs/>
          <w:lang w:val="en-US"/>
        </w:rPr>
      </w:pPr>
      <w:r w:rsidRPr="001B74C1">
        <w:rPr>
          <w:iCs/>
          <w:lang w:val="en-US"/>
        </w:rPr>
        <w:t xml:space="preserve">Please return to </w:t>
      </w:r>
    </w:p>
    <w:p w14:paraId="1F4FBA60" w14:textId="77777777" w:rsidR="001B74C1" w:rsidRPr="001B74C1" w:rsidRDefault="001B74C1" w:rsidP="001B74C1">
      <w:pPr>
        <w:spacing w:after="0"/>
        <w:rPr>
          <w:iCs/>
          <w:lang w:val="en-US"/>
        </w:rPr>
      </w:pPr>
      <w:r w:rsidRPr="001B74C1">
        <w:rPr>
          <w:iCs/>
          <w:lang w:val="en-US"/>
        </w:rPr>
        <w:t>Paula Lloyd</w:t>
      </w:r>
    </w:p>
    <w:p w14:paraId="50ADA8A6" w14:textId="77777777" w:rsidR="001B74C1" w:rsidRPr="001B74C1" w:rsidRDefault="001B74C1" w:rsidP="001B74C1">
      <w:pPr>
        <w:spacing w:after="0"/>
        <w:rPr>
          <w:iCs/>
          <w:lang w:val="en-US"/>
        </w:rPr>
      </w:pPr>
      <w:r w:rsidRPr="001B74C1">
        <w:rPr>
          <w:iCs/>
          <w:lang w:val="en-US"/>
        </w:rPr>
        <w:t>Lichfield Diocesan Board of Education</w:t>
      </w:r>
    </w:p>
    <w:p w14:paraId="79B7D519" w14:textId="301B89D7" w:rsidR="001B74C1" w:rsidRDefault="005314A5" w:rsidP="001B74C1">
      <w:pPr>
        <w:spacing w:after="0"/>
        <w:rPr>
          <w:iCs/>
          <w:lang w:val="en-US"/>
        </w:rPr>
      </w:pPr>
      <w:r>
        <w:rPr>
          <w:iCs/>
          <w:lang w:val="en-US"/>
        </w:rPr>
        <w:t>1 Three Spires House</w:t>
      </w:r>
    </w:p>
    <w:p w14:paraId="0722B6D3" w14:textId="7402F6B3" w:rsidR="005314A5" w:rsidRPr="001B74C1" w:rsidRDefault="005314A5" w:rsidP="001B74C1">
      <w:pPr>
        <w:spacing w:after="0"/>
        <w:rPr>
          <w:iCs/>
          <w:lang w:val="en-US"/>
        </w:rPr>
      </w:pPr>
      <w:r>
        <w:rPr>
          <w:iCs/>
          <w:lang w:val="en-US"/>
        </w:rPr>
        <w:t>Lichfield</w:t>
      </w:r>
    </w:p>
    <w:p w14:paraId="1C77162C" w14:textId="54168016" w:rsidR="001B74C1" w:rsidRPr="001B74C1" w:rsidRDefault="001B74C1" w:rsidP="001B74C1">
      <w:pPr>
        <w:spacing w:after="0"/>
        <w:rPr>
          <w:iCs/>
          <w:lang w:val="en-US"/>
        </w:rPr>
      </w:pPr>
      <w:r w:rsidRPr="001B74C1">
        <w:rPr>
          <w:iCs/>
          <w:lang w:val="en-US"/>
        </w:rPr>
        <w:t xml:space="preserve">WS13 </w:t>
      </w:r>
      <w:r w:rsidR="005314A5">
        <w:rPr>
          <w:iCs/>
          <w:lang w:val="en-US"/>
        </w:rPr>
        <w:t>6HX</w:t>
      </w:r>
    </w:p>
    <w:p w14:paraId="13812106" w14:textId="5239380A" w:rsidR="001B74C1" w:rsidRDefault="001B74C1" w:rsidP="001B74C1">
      <w:pPr>
        <w:rPr>
          <w:iCs/>
          <w:lang w:val="en-US"/>
        </w:rPr>
        <w:sectPr w:rsidR="001B74C1" w:rsidSect="002D1DAD">
          <w:headerReference w:type="first" r:id="rId9"/>
          <w:footerReference w:type="first" r:id="rId10"/>
          <w:pgSz w:w="11907" w:h="16839" w:code="9"/>
          <w:pgMar w:top="993" w:right="1275" w:bottom="1440" w:left="1440" w:header="708" w:footer="708" w:gutter="0"/>
          <w:pgNumType w:start="0"/>
          <w:cols w:space="708"/>
          <w:titlePg/>
          <w:docGrid w:linePitch="360"/>
        </w:sectPr>
      </w:pPr>
      <w:r w:rsidRPr="001B74C1">
        <w:rPr>
          <w:iCs/>
          <w:lang w:val="en-US"/>
        </w:rPr>
        <w:sym w:font="Wingdings" w:char="F02A"/>
      </w:r>
      <w:r w:rsidRPr="001B74C1">
        <w:rPr>
          <w:iCs/>
          <w:lang w:val="en-US"/>
        </w:rPr>
        <w:t xml:space="preserve"> </w:t>
      </w:r>
      <w:hyperlink r:id="rId11" w:history="1">
        <w:r w:rsidRPr="001B74C1">
          <w:rPr>
            <w:rStyle w:val="Hyperlink"/>
            <w:iCs/>
            <w:lang w:val="en-US"/>
          </w:rPr>
          <w:t>paula.lloyd@lichfield.anglican.org</w:t>
        </w:r>
      </w:hyperlink>
    </w:p>
    <w:p w14:paraId="405B7487" w14:textId="77777777" w:rsidR="0030095E" w:rsidRDefault="0030095E" w:rsidP="001B74C1">
      <w:pPr>
        <w:pStyle w:val="Heading3"/>
        <w:jc w:val="center"/>
        <w:rPr>
          <w:color w:val="F36F2B" w:themeColor="accent1"/>
          <w:lang w:val="en-US"/>
        </w:rPr>
      </w:pPr>
    </w:p>
    <w:p w14:paraId="40A699A7" w14:textId="37869052" w:rsidR="001B74C1" w:rsidRPr="0030095E" w:rsidRDefault="001B74C1" w:rsidP="001B74C1">
      <w:pPr>
        <w:pStyle w:val="Heading3"/>
        <w:jc w:val="center"/>
        <w:rPr>
          <w:color w:val="F36F2B" w:themeColor="accent1"/>
          <w:sz w:val="32"/>
          <w:szCs w:val="32"/>
          <w:lang w:val="en-US"/>
        </w:rPr>
      </w:pPr>
      <w:r w:rsidRPr="0030095E">
        <w:rPr>
          <w:color w:val="F36F2B" w:themeColor="accent1"/>
          <w:sz w:val="32"/>
          <w:szCs w:val="32"/>
          <w:lang w:val="en-US"/>
        </w:rPr>
        <w:t>Terms of Agreement</w:t>
      </w:r>
    </w:p>
    <w:p w14:paraId="36D81361" w14:textId="2447C5D5" w:rsidR="001B74C1" w:rsidRPr="001B74C1" w:rsidRDefault="001B74C1" w:rsidP="001B74C1"/>
    <w:p w14:paraId="1862A0DA" w14:textId="77777777" w:rsidR="001B74C1" w:rsidRPr="00B20B9E" w:rsidRDefault="001B74C1" w:rsidP="00606EF4">
      <w:pPr>
        <w:jc w:val="both"/>
        <w:rPr>
          <w:sz w:val="20"/>
          <w:szCs w:val="20"/>
          <w:lang w:bidi="en-GB"/>
        </w:rPr>
      </w:pPr>
      <w:r w:rsidRPr="00B20B9E">
        <w:rPr>
          <w:sz w:val="20"/>
          <w:szCs w:val="20"/>
          <w:lang w:bidi="en-GB"/>
        </w:rPr>
        <w:t>All schools and academies subscribing to this agreement are expected to:</w:t>
      </w:r>
    </w:p>
    <w:p w14:paraId="1AC195E7" w14:textId="77777777" w:rsidR="001B74C1" w:rsidRPr="00B20B9E" w:rsidRDefault="001B74C1" w:rsidP="001B74C1">
      <w:pPr>
        <w:pStyle w:val="ListParagraph"/>
        <w:numPr>
          <w:ilvl w:val="0"/>
          <w:numId w:val="35"/>
        </w:numPr>
        <w:rPr>
          <w:sz w:val="20"/>
          <w:szCs w:val="20"/>
          <w:lang w:bidi="en-GB"/>
        </w:rPr>
      </w:pPr>
      <w:r w:rsidRPr="00B20B9E">
        <w:rPr>
          <w:sz w:val="20"/>
          <w:szCs w:val="20"/>
          <w:lang w:bidi="en-GB"/>
        </w:rPr>
        <w:t xml:space="preserve">Keep the Education Team informed of the current situation in relation to the services required and developments at the </w:t>
      </w:r>
      <w:proofErr w:type="gramStart"/>
      <w:r w:rsidRPr="00B20B9E">
        <w:rPr>
          <w:sz w:val="20"/>
          <w:szCs w:val="20"/>
          <w:lang w:bidi="en-GB"/>
        </w:rPr>
        <w:t>school;</w:t>
      </w:r>
      <w:proofErr w:type="gramEnd"/>
    </w:p>
    <w:p w14:paraId="0FA07612" w14:textId="77777777" w:rsidR="001B74C1" w:rsidRPr="00B20B9E" w:rsidRDefault="001B74C1" w:rsidP="001B74C1">
      <w:pPr>
        <w:pStyle w:val="ListParagraph"/>
        <w:numPr>
          <w:ilvl w:val="0"/>
          <w:numId w:val="35"/>
        </w:numPr>
        <w:rPr>
          <w:sz w:val="20"/>
          <w:szCs w:val="20"/>
          <w:lang w:bidi="en-GB"/>
        </w:rPr>
      </w:pPr>
      <w:r w:rsidRPr="00B20B9E">
        <w:rPr>
          <w:sz w:val="20"/>
          <w:szCs w:val="20"/>
          <w:lang w:bidi="en-GB"/>
        </w:rPr>
        <w:t xml:space="preserve">Give adequate notice when requesting visits, </w:t>
      </w:r>
      <w:proofErr w:type="gramStart"/>
      <w:r w:rsidRPr="00B20B9E">
        <w:rPr>
          <w:sz w:val="20"/>
          <w:szCs w:val="20"/>
          <w:lang w:bidi="en-GB"/>
        </w:rPr>
        <w:t>training  or</w:t>
      </w:r>
      <w:proofErr w:type="gramEnd"/>
      <w:r w:rsidRPr="00B20B9E">
        <w:rPr>
          <w:sz w:val="20"/>
          <w:szCs w:val="20"/>
          <w:lang w:bidi="en-GB"/>
        </w:rPr>
        <w:t xml:space="preserve"> meetings;</w:t>
      </w:r>
    </w:p>
    <w:p w14:paraId="19DE3807" w14:textId="77777777" w:rsidR="001B74C1" w:rsidRPr="00B20B9E" w:rsidRDefault="001B74C1" w:rsidP="001B74C1">
      <w:pPr>
        <w:pStyle w:val="ListParagraph"/>
        <w:numPr>
          <w:ilvl w:val="0"/>
          <w:numId w:val="35"/>
        </w:numPr>
        <w:rPr>
          <w:sz w:val="20"/>
          <w:szCs w:val="20"/>
          <w:lang w:bidi="en-GB"/>
        </w:rPr>
      </w:pPr>
      <w:r w:rsidRPr="00B20B9E">
        <w:rPr>
          <w:sz w:val="20"/>
          <w:szCs w:val="20"/>
          <w:lang w:bidi="en-GB"/>
        </w:rPr>
        <w:t xml:space="preserve">Be available, given adequate notice, for meetings and/or </w:t>
      </w:r>
      <w:proofErr w:type="gramStart"/>
      <w:r w:rsidRPr="00B20B9E">
        <w:rPr>
          <w:sz w:val="20"/>
          <w:szCs w:val="20"/>
          <w:lang w:bidi="en-GB"/>
        </w:rPr>
        <w:t>visits;</w:t>
      </w:r>
      <w:proofErr w:type="gramEnd"/>
    </w:p>
    <w:p w14:paraId="7D1833D0" w14:textId="77777777" w:rsidR="001B74C1" w:rsidRPr="00B20B9E" w:rsidRDefault="001B74C1" w:rsidP="001B74C1">
      <w:pPr>
        <w:pStyle w:val="ListParagraph"/>
        <w:numPr>
          <w:ilvl w:val="0"/>
          <w:numId w:val="35"/>
        </w:numPr>
        <w:rPr>
          <w:sz w:val="20"/>
          <w:szCs w:val="20"/>
          <w:lang w:bidi="en-GB"/>
        </w:rPr>
      </w:pPr>
      <w:r w:rsidRPr="00B20B9E">
        <w:rPr>
          <w:sz w:val="20"/>
          <w:szCs w:val="20"/>
          <w:lang w:bidi="en-GB"/>
        </w:rPr>
        <w:t xml:space="preserve">Pay due attention to advice given by the Education Team or our </w:t>
      </w:r>
      <w:proofErr w:type="gramStart"/>
      <w:r w:rsidRPr="00B20B9E">
        <w:rPr>
          <w:sz w:val="20"/>
          <w:szCs w:val="20"/>
          <w:lang w:bidi="en-GB"/>
        </w:rPr>
        <w:t>Associates;</w:t>
      </w:r>
      <w:proofErr w:type="gramEnd"/>
    </w:p>
    <w:p w14:paraId="2488B983" w14:textId="77777777" w:rsidR="001B74C1" w:rsidRPr="00B20B9E" w:rsidRDefault="001B74C1" w:rsidP="001B74C1">
      <w:pPr>
        <w:pStyle w:val="ListParagraph"/>
        <w:numPr>
          <w:ilvl w:val="0"/>
          <w:numId w:val="35"/>
        </w:numPr>
        <w:rPr>
          <w:sz w:val="20"/>
          <w:szCs w:val="20"/>
          <w:lang w:bidi="en-GB"/>
        </w:rPr>
      </w:pPr>
      <w:r w:rsidRPr="00B20B9E">
        <w:rPr>
          <w:sz w:val="20"/>
          <w:szCs w:val="20"/>
          <w:lang w:bidi="en-GB"/>
        </w:rPr>
        <w:t>Give at least 5 working days’ notice to cancel or re-schedule a visit</w:t>
      </w:r>
    </w:p>
    <w:p w14:paraId="6A23B6CB" w14:textId="77777777" w:rsidR="001B74C1" w:rsidRPr="00B20B9E" w:rsidRDefault="001B74C1" w:rsidP="00606EF4">
      <w:pPr>
        <w:jc w:val="both"/>
        <w:rPr>
          <w:iCs/>
          <w:sz w:val="20"/>
          <w:szCs w:val="20"/>
          <w:lang w:val="en-US"/>
        </w:rPr>
      </w:pPr>
      <w:r w:rsidRPr="00B20B9E">
        <w:rPr>
          <w:iCs/>
          <w:sz w:val="20"/>
          <w:szCs w:val="20"/>
          <w:lang w:val="en-US"/>
        </w:rPr>
        <w:t xml:space="preserve">In consideration of Lichfield Diocesan Board of Education (LDBE) providing the services in accordance with this agreement, the customer agrees to pay the fees and charges to LDBE. The LDBE will raise invoice(s) for services and the customer will pay such invoices within 28 days of the date of each invoice. </w:t>
      </w:r>
    </w:p>
    <w:p w14:paraId="77287591" w14:textId="2F96C693" w:rsidR="001B74C1" w:rsidRPr="00B20B9E" w:rsidRDefault="001B74C1" w:rsidP="00606EF4">
      <w:pPr>
        <w:jc w:val="both"/>
        <w:rPr>
          <w:iCs/>
          <w:sz w:val="20"/>
          <w:szCs w:val="20"/>
          <w:lang w:val="en-US"/>
        </w:rPr>
      </w:pPr>
      <w:r w:rsidRPr="00B20B9E">
        <w:rPr>
          <w:iCs/>
          <w:sz w:val="20"/>
          <w:szCs w:val="20"/>
          <w:lang w:val="en-US"/>
        </w:rPr>
        <w:t xml:space="preserve">The customer may have the </w:t>
      </w:r>
      <w:r w:rsidR="0032671D">
        <w:rPr>
          <w:iCs/>
          <w:sz w:val="20"/>
          <w:szCs w:val="20"/>
          <w:lang w:val="en-US"/>
        </w:rPr>
        <w:t>option to pay the invoices via direct d</w:t>
      </w:r>
      <w:r w:rsidRPr="00B20B9E">
        <w:rPr>
          <w:iCs/>
          <w:sz w:val="20"/>
          <w:szCs w:val="20"/>
          <w:lang w:val="en-US"/>
        </w:rPr>
        <w:t xml:space="preserve">ebit in managed stages monthly in arrears subject to LDBE written agreement. If payment of the fees and charges are not paid by the due date, LDBE shall be entitled, without limiting any other rights it may have, to charge interest on the outstanding amount. </w:t>
      </w:r>
    </w:p>
    <w:p w14:paraId="66332420" w14:textId="77777777" w:rsidR="001B74C1" w:rsidRPr="00B20B9E" w:rsidRDefault="001B74C1" w:rsidP="00606EF4">
      <w:pPr>
        <w:jc w:val="both"/>
        <w:rPr>
          <w:iCs/>
          <w:sz w:val="20"/>
          <w:szCs w:val="20"/>
          <w:lang w:val="en-US"/>
        </w:rPr>
      </w:pPr>
      <w:r w:rsidRPr="00B20B9E">
        <w:rPr>
          <w:iCs/>
          <w:sz w:val="20"/>
          <w:szCs w:val="20"/>
          <w:lang w:val="en-US"/>
        </w:rPr>
        <w:t xml:space="preserve">If either party (‘the defaulting party’) commits a breach of this agreement and has not remedied the breach to the satisfaction of the other party (the ‘complaining party’) within 30 days of the defaulting parties receipt of the complaining parties written notice specifying the breach and requesting it to be remedied; or the breach is not capable of remedy; or the breach is a fundamental breach of the agreement, then the complaining party may, without prejudice to any accrued rights or remedies under the agreement, terminate the agreement by notice in writing, such notice to have immediate effect. </w:t>
      </w:r>
    </w:p>
    <w:p w14:paraId="52FDC18E" w14:textId="77777777" w:rsidR="001B74C1" w:rsidRPr="00B20B9E" w:rsidRDefault="001B74C1" w:rsidP="00606EF4">
      <w:pPr>
        <w:jc w:val="both"/>
        <w:rPr>
          <w:iCs/>
          <w:sz w:val="20"/>
          <w:szCs w:val="20"/>
          <w:lang w:val="en-US"/>
        </w:rPr>
      </w:pPr>
      <w:r w:rsidRPr="00B20B9E">
        <w:rPr>
          <w:iCs/>
          <w:sz w:val="20"/>
          <w:szCs w:val="20"/>
          <w:lang w:val="en-US"/>
        </w:rPr>
        <w:t xml:space="preserve">This Agreement may also be </w:t>
      </w:r>
      <w:r w:rsidRPr="00B20B9E">
        <w:rPr>
          <w:b/>
          <w:bCs/>
          <w:iCs/>
          <w:sz w:val="20"/>
          <w:szCs w:val="20"/>
          <w:lang w:val="en-US"/>
        </w:rPr>
        <w:t xml:space="preserve">terminated </w:t>
      </w:r>
      <w:r w:rsidRPr="00B20B9E">
        <w:rPr>
          <w:iCs/>
          <w:sz w:val="20"/>
          <w:szCs w:val="20"/>
          <w:lang w:val="en-US"/>
        </w:rPr>
        <w:t>by LDBE with immediate effect if:</w:t>
      </w:r>
    </w:p>
    <w:p w14:paraId="6BF74DEF" w14:textId="77777777" w:rsidR="001B74C1" w:rsidRPr="00B20B9E" w:rsidRDefault="001B74C1" w:rsidP="001B74C1">
      <w:pPr>
        <w:pStyle w:val="ListParagraph"/>
        <w:numPr>
          <w:ilvl w:val="0"/>
          <w:numId w:val="36"/>
        </w:numPr>
        <w:rPr>
          <w:sz w:val="20"/>
          <w:szCs w:val="20"/>
          <w:lang w:val="en-US"/>
        </w:rPr>
      </w:pPr>
      <w:r w:rsidRPr="00B20B9E">
        <w:rPr>
          <w:sz w:val="20"/>
          <w:szCs w:val="20"/>
          <w:lang w:val="en-US"/>
        </w:rPr>
        <w:t xml:space="preserve">the customer convenes a meeting of its </w:t>
      </w:r>
      <w:proofErr w:type="gramStart"/>
      <w:r w:rsidRPr="00B20B9E">
        <w:rPr>
          <w:sz w:val="20"/>
          <w:szCs w:val="20"/>
          <w:lang w:val="en-US"/>
        </w:rPr>
        <w:t>creditors;</w:t>
      </w:r>
      <w:proofErr w:type="gramEnd"/>
    </w:p>
    <w:p w14:paraId="0975B281" w14:textId="77777777" w:rsidR="001B74C1" w:rsidRPr="00B20B9E" w:rsidRDefault="001B74C1" w:rsidP="001B74C1">
      <w:pPr>
        <w:pStyle w:val="ListParagraph"/>
        <w:numPr>
          <w:ilvl w:val="0"/>
          <w:numId w:val="36"/>
        </w:numPr>
        <w:rPr>
          <w:sz w:val="20"/>
          <w:szCs w:val="20"/>
          <w:lang w:val="en-US"/>
        </w:rPr>
      </w:pPr>
      <w:r w:rsidRPr="00B20B9E">
        <w:rPr>
          <w:sz w:val="20"/>
          <w:szCs w:val="20"/>
          <w:lang w:val="en-US"/>
        </w:rPr>
        <w:t xml:space="preserve">the customer shall make a voluntary arrangement within Part 1 of the Insolvency Act 1986 or makes a proposal for any other composition scheme of arrangement with (or assignment for the benefit of) its </w:t>
      </w:r>
      <w:proofErr w:type="gramStart"/>
      <w:r w:rsidRPr="00B20B9E">
        <w:rPr>
          <w:sz w:val="20"/>
          <w:szCs w:val="20"/>
          <w:lang w:val="en-US"/>
        </w:rPr>
        <w:t>creditors;</w:t>
      </w:r>
      <w:proofErr w:type="gramEnd"/>
    </w:p>
    <w:p w14:paraId="034DA8E7" w14:textId="77777777" w:rsidR="001B74C1" w:rsidRPr="00B20B9E" w:rsidRDefault="001B74C1" w:rsidP="001B74C1">
      <w:pPr>
        <w:pStyle w:val="ListParagraph"/>
        <w:numPr>
          <w:ilvl w:val="0"/>
          <w:numId w:val="36"/>
        </w:numPr>
        <w:rPr>
          <w:sz w:val="20"/>
          <w:szCs w:val="20"/>
          <w:lang w:val="en-US"/>
        </w:rPr>
      </w:pPr>
      <w:r w:rsidRPr="00B20B9E">
        <w:rPr>
          <w:sz w:val="20"/>
          <w:szCs w:val="20"/>
          <w:lang w:val="en-US"/>
        </w:rPr>
        <w:t xml:space="preserve">the customer shall be unable to pay its debts within the meaning of section 123 of the Insolvency Act </w:t>
      </w:r>
      <w:proofErr w:type="gramStart"/>
      <w:r w:rsidRPr="00B20B9E">
        <w:rPr>
          <w:sz w:val="20"/>
          <w:szCs w:val="20"/>
          <w:lang w:val="en-US"/>
        </w:rPr>
        <w:t>1986;</w:t>
      </w:r>
      <w:proofErr w:type="gramEnd"/>
    </w:p>
    <w:p w14:paraId="55555592" w14:textId="77777777" w:rsidR="001B74C1" w:rsidRPr="00B20B9E" w:rsidRDefault="001B74C1" w:rsidP="001B74C1">
      <w:pPr>
        <w:pStyle w:val="ListParagraph"/>
        <w:numPr>
          <w:ilvl w:val="0"/>
          <w:numId w:val="36"/>
        </w:numPr>
        <w:rPr>
          <w:sz w:val="20"/>
          <w:szCs w:val="20"/>
          <w:lang w:val="en-US"/>
        </w:rPr>
      </w:pPr>
      <w:r w:rsidRPr="00B20B9E">
        <w:rPr>
          <w:sz w:val="20"/>
          <w:szCs w:val="20"/>
          <w:lang w:val="en-US"/>
        </w:rPr>
        <w:t xml:space="preserve">a trustee </w:t>
      </w:r>
      <w:proofErr w:type="gramStart"/>
      <w:r w:rsidRPr="00B20B9E">
        <w:rPr>
          <w:sz w:val="20"/>
          <w:szCs w:val="20"/>
          <w:lang w:val="en-US"/>
        </w:rPr>
        <w:t>receiver,  administrative</w:t>
      </w:r>
      <w:proofErr w:type="gramEnd"/>
      <w:r w:rsidRPr="00B20B9E">
        <w:rPr>
          <w:sz w:val="20"/>
          <w:szCs w:val="20"/>
          <w:lang w:val="en-US"/>
        </w:rPr>
        <w:t xml:space="preserve"> receiver or similar officer is appointed in respect of all or any material part of the customer’s business or assets; or</w:t>
      </w:r>
    </w:p>
    <w:p w14:paraId="69F53343" w14:textId="32281F8D" w:rsidR="00551D77" w:rsidRPr="00551D77" w:rsidRDefault="001B74C1" w:rsidP="00F443E4">
      <w:pPr>
        <w:pStyle w:val="ListParagraph"/>
        <w:numPr>
          <w:ilvl w:val="0"/>
          <w:numId w:val="36"/>
        </w:numPr>
      </w:pPr>
      <w:r w:rsidRPr="0030095E">
        <w:rPr>
          <w:sz w:val="20"/>
          <w:szCs w:val="20"/>
          <w:lang w:val="en-US"/>
        </w:rPr>
        <w:t>a meeting is convened for the purpose of considering a resolution, or other steps are taken for the winding up of the customer (otherwise than for the purpose of an amalgamation or reconstruction) or for the making of an administration order or other appointment of an administrator in respect of</w:t>
      </w:r>
      <w:r w:rsidRPr="0030095E">
        <w:rPr>
          <w:iCs/>
          <w:sz w:val="20"/>
          <w:szCs w:val="20"/>
          <w:lang w:val="en-US"/>
        </w:rPr>
        <w:t xml:space="preserve"> the customer.</w:t>
      </w:r>
    </w:p>
    <w:sectPr w:rsidR="00551D77" w:rsidRPr="00551D77" w:rsidSect="00791508">
      <w:footerReference w:type="default" r:id="rId12"/>
      <w:headerReference w:type="first" r:id="rId13"/>
      <w:pgSz w:w="11907" w:h="16839" w:code="9"/>
      <w:pgMar w:top="993" w:right="1275"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1468" w14:textId="77777777" w:rsidR="00704D02" w:rsidRDefault="00704D02" w:rsidP="00456C52">
      <w:pPr>
        <w:spacing w:after="0" w:line="240" w:lineRule="auto"/>
      </w:pPr>
      <w:r>
        <w:separator/>
      </w:r>
    </w:p>
    <w:p w14:paraId="16077F8C" w14:textId="77777777" w:rsidR="00704D02" w:rsidRDefault="00704D02"/>
  </w:endnote>
  <w:endnote w:type="continuationSeparator" w:id="0">
    <w:p w14:paraId="0EF48935" w14:textId="77777777" w:rsidR="00704D02" w:rsidRDefault="00704D02" w:rsidP="00456C52">
      <w:pPr>
        <w:spacing w:after="0" w:line="240" w:lineRule="auto"/>
      </w:pPr>
      <w:r>
        <w:continuationSeparator/>
      </w:r>
    </w:p>
    <w:p w14:paraId="564074E5" w14:textId="77777777" w:rsidR="00704D02" w:rsidRDefault="00704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9608" w14:textId="4333DB6C" w:rsidR="00B20B9E" w:rsidRDefault="00B20B9E">
    <w:pPr>
      <w:pStyle w:val="Footer"/>
    </w:pPr>
  </w:p>
  <w:p w14:paraId="4D43B2E8" w14:textId="0AD12951" w:rsidR="00B20B9E" w:rsidRDefault="0030095E" w:rsidP="00791508">
    <w:pPr>
      <w:pStyle w:val="Footer"/>
      <w:jc w:val="right"/>
    </w:pPr>
    <w:r>
      <w:rPr>
        <w:noProof/>
      </w:rPr>
      <w:drawing>
        <wp:inline distT="0" distB="0" distL="0" distR="0" wp14:anchorId="152AC87E" wp14:editId="6483D7B6">
          <wp:extent cx="2002152" cy="591585"/>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2045" cy="62110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293" w14:textId="2A52F310" w:rsidR="00704D02" w:rsidRDefault="00704D02" w:rsidP="00CF1354">
    <w:pPr>
      <w:pStyle w:val="Footer"/>
      <w:tabs>
        <w:tab w:val="clear" w:pos="4513"/>
        <w:tab w:val="clear" w:pos="9026"/>
        <w:tab w:val="right" w:pos="9214"/>
      </w:tabs>
      <w:jc w:val="center"/>
    </w:pPr>
    <w:r>
      <w:rPr>
        <w:noProof/>
        <w:position w:val="10"/>
        <w:lang w:eastAsia="en-GB"/>
      </w:rPr>
      <w:drawing>
        <wp:inline distT="0" distB="0" distL="0" distR="0" wp14:anchorId="65998FD6" wp14:editId="4C350D7B">
          <wp:extent cx="3535680" cy="1044703"/>
          <wp:effectExtent l="0" t="0" r="762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02-small-title-reversed.png"/>
                  <pic:cNvPicPr/>
                </pic:nvPicPr>
                <pic:blipFill>
                  <a:blip r:embed="rId1">
                    <a:extLst>
                      <a:ext uri="{28A0092B-C50C-407E-A947-70E740481C1C}">
                        <a14:useLocalDpi xmlns:a14="http://schemas.microsoft.com/office/drawing/2010/main" val="0"/>
                      </a:ext>
                    </a:extLst>
                  </a:blip>
                  <a:stretch>
                    <a:fillRect/>
                  </a:stretch>
                </pic:blipFill>
                <pic:spPr>
                  <a:xfrm>
                    <a:off x="0" y="0"/>
                    <a:ext cx="3535680" cy="10447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D3BF" w14:textId="77777777" w:rsidR="00704D02" w:rsidRDefault="00704D02" w:rsidP="00456C52">
      <w:pPr>
        <w:spacing w:after="0" w:line="240" w:lineRule="auto"/>
      </w:pPr>
      <w:r>
        <w:separator/>
      </w:r>
    </w:p>
    <w:p w14:paraId="18FA1943" w14:textId="77777777" w:rsidR="00704D02" w:rsidRDefault="00704D02"/>
  </w:footnote>
  <w:footnote w:type="continuationSeparator" w:id="0">
    <w:p w14:paraId="39B43495" w14:textId="77777777" w:rsidR="00704D02" w:rsidRDefault="00704D02" w:rsidP="00456C52">
      <w:pPr>
        <w:spacing w:after="0" w:line="240" w:lineRule="auto"/>
      </w:pPr>
      <w:r>
        <w:continuationSeparator/>
      </w:r>
    </w:p>
    <w:p w14:paraId="515209E0" w14:textId="77777777" w:rsidR="00704D02" w:rsidRDefault="00704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B5F4" w14:textId="00D999D8" w:rsidR="0030095E" w:rsidRDefault="0030095E" w:rsidP="0030095E">
    <w:pPr>
      <w:pStyle w:val="Header"/>
      <w:jc w:val="center"/>
    </w:pPr>
    <w:r>
      <w:rPr>
        <w:noProof/>
      </w:rPr>
      <w:drawing>
        <wp:inline distT="0" distB="0" distL="0" distR="0" wp14:anchorId="36EF9F4D" wp14:editId="68320A7E">
          <wp:extent cx="1962150" cy="739222"/>
          <wp:effectExtent l="0" t="0" r="0" b="381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7045" cy="7486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4672" w14:textId="77777777" w:rsidR="0030095E" w:rsidRDefault="0030095E" w:rsidP="0030095E">
    <w:pPr>
      <w:pStyle w:val="Header"/>
      <w:jc w:val="center"/>
    </w:pPr>
    <w:r>
      <w:rPr>
        <w:noProof/>
      </w:rPr>
      <w:drawing>
        <wp:anchor distT="0" distB="0" distL="114300" distR="114300" simplePos="0" relativeHeight="251658240" behindDoc="1" locked="0" layoutInCell="1" allowOverlap="1" wp14:anchorId="0EFD6905" wp14:editId="35B6FB00">
          <wp:simplePos x="0" y="0"/>
          <wp:positionH relativeFrom="column">
            <wp:posOffset>4800600</wp:posOffset>
          </wp:positionH>
          <wp:positionV relativeFrom="page">
            <wp:posOffset>152400</wp:posOffset>
          </wp:positionV>
          <wp:extent cx="960120" cy="361950"/>
          <wp:effectExtent l="0" t="0" r="0" b="0"/>
          <wp:wrapTight wrapText="bothSides">
            <wp:wrapPolygon edited="0">
              <wp:start x="0" y="0"/>
              <wp:lineTo x="0" y="20463"/>
              <wp:lineTo x="21000" y="20463"/>
              <wp:lineTo x="21000" y="0"/>
              <wp:lineTo x="0" y="0"/>
            </wp:wrapPolygon>
          </wp:wrapTight>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0120" cy="361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30F"/>
    <w:multiLevelType w:val="hybridMultilevel"/>
    <w:tmpl w:val="C3E4AA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A1CC3"/>
    <w:multiLevelType w:val="hybridMultilevel"/>
    <w:tmpl w:val="31E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16022"/>
    <w:multiLevelType w:val="hybridMultilevel"/>
    <w:tmpl w:val="A1F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170E8"/>
    <w:multiLevelType w:val="hybridMultilevel"/>
    <w:tmpl w:val="335C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22080"/>
    <w:multiLevelType w:val="hybridMultilevel"/>
    <w:tmpl w:val="0252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21CFE"/>
    <w:multiLevelType w:val="hybridMultilevel"/>
    <w:tmpl w:val="AEF80656"/>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B01ACE"/>
    <w:multiLevelType w:val="hybridMultilevel"/>
    <w:tmpl w:val="0E04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A27E7"/>
    <w:multiLevelType w:val="hybridMultilevel"/>
    <w:tmpl w:val="F470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D7DFE"/>
    <w:multiLevelType w:val="hybridMultilevel"/>
    <w:tmpl w:val="B980121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95F47"/>
    <w:multiLevelType w:val="hybridMultilevel"/>
    <w:tmpl w:val="CEF0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910C5"/>
    <w:multiLevelType w:val="hybridMultilevel"/>
    <w:tmpl w:val="525E4FF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737F6"/>
    <w:multiLevelType w:val="hybridMultilevel"/>
    <w:tmpl w:val="3B3C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846B2"/>
    <w:multiLevelType w:val="hybridMultilevel"/>
    <w:tmpl w:val="C71C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81EA7"/>
    <w:multiLevelType w:val="hybridMultilevel"/>
    <w:tmpl w:val="8CC2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87766"/>
    <w:multiLevelType w:val="hybridMultilevel"/>
    <w:tmpl w:val="A9FA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245A5"/>
    <w:multiLevelType w:val="hybridMultilevel"/>
    <w:tmpl w:val="3DD6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F528C"/>
    <w:multiLevelType w:val="hybridMultilevel"/>
    <w:tmpl w:val="FDAC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A1A87"/>
    <w:multiLevelType w:val="hybridMultilevel"/>
    <w:tmpl w:val="E212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17AB4"/>
    <w:multiLevelType w:val="hybridMultilevel"/>
    <w:tmpl w:val="47A8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57A8E"/>
    <w:multiLevelType w:val="hybridMultilevel"/>
    <w:tmpl w:val="B592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B1C80"/>
    <w:multiLevelType w:val="hybridMultilevel"/>
    <w:tmpl w:val="3AAC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07FCE"/>
    <w:multiLevelType w:val="hybridMultilevel"/>
    <w:tmpl w:val="BD121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02C4F"/>
    <w:multiLevelType w:val="hybridMultilevel"/>
    <w:tmpl w:val="41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F3721"/>
    <w:multiLevelType w:val="hybridMultilevel"/>
    <w:tmpl w:val="7C683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4468F"/>
    <w:multiLevelType w:val="hybridMultilevel"/>
    <w:tmpl w:val="432C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94C1D"/>
    <w:multiLevelType w:val="hybridMultilevel"/>
    <w:tmpl w:val="91A269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577F3"/>
    <w:multiLevelType w:val="hybridMultilevel"/>
    <w:tmpl w:val="ED00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06C15"/>
    <w:multiLevelType w:val="hybridMultilevel"/>
    <w:tmpl w:val="8496E70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677A2"/>
    <w:multiLevelType w:val="hybridMultilevel"/>
    <w:tmpl w:val="B00A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D05F8"/>
    <w:multiLevelType w:val="hybridMultilevel"/>
    <w:tmpl w:val="7C40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F6CBC"/>
    <w:multiLevelType w:val="hybridMultilevel"/>
    <w:tmpl w:val="62EC6B7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C5787"/>
    <w:multiLevelType w:val="hybridMultilevel"/>
    <w:tmpl w:val="2068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0E6B9D"/>
    <w:multiLevelType w:val="hybridMultilevel"/>
    <w:tmpl w:val="40545BF8"/>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3" w15:restartNumberingAfterBreak="0">
    <w:nsid w:val="73427EA0"/>
    <w:multiLevelType w:val="hybridMultilevel"/>
    <w:tmpl w:val="1278FC7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31A0A"/>
    <w:multiLevelType w:val="hybridMultilevel"/>
    <w:tmpl w:val="B826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2076B"/>
    <w:multiLevelType w:val="hybridMultilevel"/>
    <w:tmpl w:val="A9CE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5"/>
  </w:num>
  <w:num w:numId="4">
    <w:abstractNumId w:val="0"/>
  </w:num>
  <w:num w:numId="5">
    <w:abstractNumId w:val="27"/>
  </w:num>
  <w:num w:numId="6">
    <w:abstractNumId w:val="33"/>
  </w:num>
  <w:num w:numId="7">
    <w:abstractNumId w:val="8"/>
  </w:num>
  <w:num w:numId="8">
    <w:abstractNumId w:val="30"/>
  </w:num>
  <w:num w:numId="9">
    <w:abstractNumId w:val="4"/>
  </w:num>
  <w:num w:numId="10">
    <w:abstractNumId w:val="34"/>
  </w:num>
  <w:num w:numId="11">
    <w:abstractNumId w:val="23"/>
  </w:num>
  <w:num w:numId="12">
    <w:abstractNumId w:val="1"/>
  </w:num>
  <w:num w:numId="13">
    <w:abstractNumId w:val="2"/>
  </w:num>
  <w:num w:numId="14">
    <w:abstractNumId w:val="21"/>
  </w:num>
  <w:num w:numId="15">
    <w:abstractNumId w:val="20"/>
  </w:num>
  <w:num w:numId="16">
    <w:abstractNumId w:val="31"/>
  </w:num>
  <w:num w:numId="17">
    <w:abstractNumId w:val="29"/>
  </w:num>
  <w:num w:numId="18">
    <w:abstractNumId w:val="11"/>
  </w:num>
  <w:num w:numId="19">
    <w:abstractNumId w:val="15"/>
  </w:num>
  <w:num w:numId="20">
    <w:abstractNumId w:val="26"/>
  </w:num>
  <w:num w:numId="21">
    <w:abstractNumId w:val="6"/>
  </w:num>
  <w:num w:numId="22">
    <w:abstractNumId w:val="5"/>
  </w:num>
  <w:num w:numId="23">
    <w:abstractNumId w:val="9"/>
  </w:num>
  <w:num w:numId="24">
    <w:abstractNumId w:val="12"/>
  </w:num>
  <w:num w:numId="25">
    <w:abstractNumId w:val="3"/>
  </w:num>
  <w:num w:numId="26">
    <w:abstractNumId w:val="24"/>
  </w:num>
  <w:num w:numId="27">
    <w:abstractNumId w:val="7"/>
  </w:num>
  <w:num w:numId="28">
    <w:abstractNumId w:val="18"/>
  </w:num>
  <w:num w:numId="29">
    <w:abstractNumId w:val="14"/>
  </w:num>
  <w:num w:numId="30">
    <w:abstractNumId w:val="17"/>
  </w:num>
  <w:num w:numId="31">
    <w:abstractNumId w:val="22"/>
  </w:num>
  <w:num w:numId="32">
    <w:abstractNumId w:val="28"/>
  </w:num>
  <w:num w:numId="33">
    <w:abstractNumId w:val="35"/>
  </w:num>
  <w:num w:numId="34">
    <w:abstractNumId w:val="13"/>
  </w:num>
  <w:num w:numId="35">
    <w:abstractNumId w:val="19"/>
  </w:num>
  <w:num w:numId="3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90"/>
    <w:rsid w:val="00001D77"/>
    <w:rsid w:val="00003F21"/>
    <w:rsid w:val="0000484C"/>
    <w:rsid w:val="00013BC5"/>
    <w:rsid w:val="00036D96"/>
    <w:rsid w:val="000428B3"/>
    <w:rsid w:val="00046E8D"/>
    <w:rsid w:val="00072D22"/>
    <w:rsid w:val="000B44DB"/>
    <w:rsid w:val="000D412E"/>
    <w:rsid w:val="000D79D7"/>
    <w:rsid w:val="000E2476"/>
    <w:rsid w:val="000E6963"/>
    <w:rsid w:val="000F0C25"/>
    <w:rsid w:val="00102840"/>
    <w:rsid w:val="00117557"/>
    <w:rsid w:val="00122408"/>
    <w:rsid w:val="001250FD"/>
    <w:rsid w:val="0017233B"/>
    <w:rsid w:val="00177BD3"/>
    <w:rsid w:val="00197AD8"/>
    <w:rsid w:val="001B1914"/>
    <w:rsid w:val="001B74C1"/>
    <w:rsid w:val="001C6F8D"/>
    <w:rsid w:val="001C797C"/>
    <w:rsid w:val="001E2FF8"/>
    <w:rsid w:val="001F0E5E"/>
    <w:rsid w:val="001F61A4"/>
    <w:rsid w:val="002203B0"/>
    <w:rsid w:val="00235247"/>
    <w:rsid w:val="002423FF"/>
    <w:rsid w:val="00280FB9"/>
    <w:rsid w:val="00283824"/>
    <w:rsid w:val="00291759"/>
    <w:rsid w:val="00297537"/>
    <w:rsid w:val="002B0697"/>
    <w:rsid w:val="002D1DAD"/>
    <w:rsid w:val="002E18DE"/>
    <w:rsid w:val="002E1F28"/>
    <w:rsid w:val="002F111D"/>
    <w:rsid w:val="0030095E"/>
    <w:rsid w:val="003057DD"/>
    <w:rsid w:val="00306E92"/>
    <w:rsid w:val="003221E8"/>
    <w:rsid w:val="00323BF8"/>
    <w:rsid w:val="003242E8"/>
    <w:rsid w:val="0032590E"/>
    <w:rsid w:val="0032671D"/>
    <w:rsid w:val="00340060"/>
    <w:rsid w:val="003404FA"/>
    <w:rsid w:val="003444D2"/>
    <w:rsid w:val="0035168A"/>
    <w:rsid w:val="00353C66"/>
    <w:rsid w:val="003713AC"/>
    <w:rsid w:val="003823FF"/>
    <w:rsid w:val="00391DD1"/>
    <w:rsid w:val="003933BC"/>
    <w:rsid w:val="003A0C95"/>
    <w:rsid w:val="003A4F09"/>
    <w:rsid w:val="003F47B7"/>
    <w:rsid w:val="00402AD2"/>
    <w:rsid w:val="004064A3"/>
    <w:rsid w:val="0042194E"/>
    <w:rsid w:val="00432F52"/>
    <w:rsid w:val="00433AF8"/>
    <w:rsid w:val="004472C0"/>
    <w:rsid w:val="004504C9"/>
    <w:rsid w:val="00456C52"/>
    <w:rsid w:val="00466CE8"/>
    <w:rsid w:val="00472B72"/>
    <w:rsid w:val="00481EB2"/>
    <w:rsid w:val="00483FEE"/>
    <w:rsid w:val="004D0B0D"/>
    <w:rsid w:val="004D2A0C"/>
    <w:rsid w:val="004D6A8F"/>
    <w:rsid w:val="004E49DA"/>
    <w:rsid w:val="00506560"/>
    <w:rsid w:val="00525A8A"/>
    <w:rsid w:val="005314A5"/>
    <w:rsid w:val="00536E81"/>
    <w:rsid w:val="00543644"/>
    <w:rsid w:val="00551D77"/>
    <w:rsid w:val="0056346F"/>
    <w:rsid w:val="00571023"/>
    <w:rsid w:val="0059136E"/>
    <w:rsid w:val="005A56E9"/>
    <w:rsid w:val="005C3D7C"/>
    <w:rsid w:val="005C3DE0"/>
    <w:rsid w:val="005D1629"/>
    <w:rsid w:val="006023DA"/>
    <w:rsid w:val="00606EF4"/>
    <w:rsid w:val="00606F4D"/>
    <w:rsid w:val="006164B5"/>
    <w:rsid w:val="00617BF3"/>
    <w:rsid w:val="006226B8"/>
    <w:rsid w:val="00622771"/>
    <w:rsid w:val="00635BCF"/>
    <w:rsid w:val="006616A1"/>
    <w:rsid w:val="00662BDD"/>
    <w:rsid w:val="00695497"/>
    <w:rsid w:val="00696671"/>
    <w:rsid w:val="006A1993"/>
    <w:rsid w:val="006A488F"/>
    <w:rsid w:val="006D1716"/>
    <w:rsid w:val="006D5195"/>
    <w:rsid w:val="006E5D90"/>
    <w:rsid w:val="006F0846"/>
    <w:rsid w:val="00704D02"/>
    <w:rsid w:val="00713C11"/>
    <w:rsid w:val="00715752"/>
    <w:rsid w:val="007178BA"/>
    <w:rsid w:val="00736EE7"/>
    <w:rsid w:val="00747588"/>
    <w:rsid w:val="00756629"/>
    <w:rsid w:val="00765C6D"/>
    <w:rsid w:val="00791508"/>
    <w:rsid w:val="00791D00"/>
    <w:rsid w:val="00792DC0"/>
    <w:rsid w:val="007C571A"/>
    <w:rsid w:val="007E24D8"/>
    <w:rsid w:val="007E55D2"/>
    <w:rsid w:val="007F6537"/>
    <w:rsid w:val="0080207C"/>
    <w:rsid w:val="0081498C"/>
    <w:rsid w:val="0082198B"/>
    <w:rsid w:val="0084728D"/>
    <w:rsid w:val="00851FE9"/>
    <w:rsid w:val="008705CF"/>
    <w:rsid w:val="008808D2"/>
    <w:rsid w:val="008947E9"/>
    <w:rsid w:val="0089598F"/>
    <w:rsid w:val="008A77E8"/>
    <w:rsid w:val="008B36BC"/>
    <w:rsid w:val="008B4438"/>
    <w:rsid w:val="008B46AA"/>
    <w:rsid w:val="008B6B2A"/>
    <w:rsid w:val="008F0F56"/>
    <w:rsid w:val="008F1FC8"/>
    <w:rsid w:val="00921F62"/>
    <w:rsid w:val="009265C7"/>
    <w:rsid w:val="00926B7A"/>
    <w:rsid w:val="00943656"/>
    <w:rsid w:val="00951F67"/>
    <w:rsid w:val="009558F4"/>
    <w:rsid w:val="00971E06"/>
    <w:rsid w:val="0097682E"/>
    <w:rsid w:val="00982C3F"/>
    <w:rsid w:val="00991759"/>
    <w:rsid w:val="009E3081"/>
    <w:rsid w:val="009E53D3"/>
    <w:rsid w:val="00A00C80"/>
    <w:rsid w:val="00A038CB"/>
    <w:rsid w:val="00A04C7E"/>
    <w:rsid w:val="00A2588F"/>
    <w:rsid w:val="00A41E38"/>
    <w:rsid w:val="00A51FEC"/>
    <w:rsid w:val="00A6139B"/>
    <w:rsid w:val="00A73F14"/>
    <w:rsid w:val="00A82B32"/>
    <w:rsid w:val="00A85461"/>
    <w:rsid w:val="00AA2875"/>
    <w:rsid w:val="00AC03BE"/>
    <w:rsid w:val="00AC21AD"/>
    <w:rsid w:val="00AC253D"/>
    <w:rsid w:val="00AD2AD4"/>
    <w:rsid w:val="00AD6E25"/>
    <w:rsid w:val="00AF05CE"/>
    <w:rsid w:val="00B0029C"/>
    <w:rsid w:val="00B044C1"/>
    <w:rsid w:val="00B07F2F"/>
    <w:rsid w:val="00B12EB3"/>
    <w:rsid w:val="00B13C3B"/>
    <w:rsid w:val="00B20B9E"/>
    <w:rsid w:val="00B2462F"/>
    <w:rsid w:val="00B25A8F"/>
    <w:rsid w:val="00B32F70"/>
    <w:rsid w:val="00B3550C"/>
    <w:rsid w:val="00B47702"/>
    <w:rsid w:val="00B53A9E"/>
    <w:rsid w:val="00B72D98"/>
    <w:rsid w:val="00B841E8"/>
    <w:rsid w:val="00B87245"/>
    <w:rsid w:val="00B93B8E"/>
    <w:rsid w:val="00B9695C"/>
    <w:rsid w:val="00BA1F0E"/>
    <w:rsid w:val="00BA4EA2"/>
    <w:rsid w:val="00BB3FEB"/>
    <w:rsid w:val="00BC78B1"/>
    <w:rsid w:val="00BE653B"/>
    <w:rsid w:val="00C0597A"/>
    <w:rsid w:val="00C33777"/>
    <w:rsid w:val="00C37633"/>
    <w:rsid w:val="00C46E40"/>
    <w:rsid w:val="00C5277A"/>
    <w:rsid w:val="00C62DEA"/>
    <w:rsid w:val="00C64785"/>
    <w:rsid w:val="00CD1FCD"/>
    <w:rsid w:val="00CE06D3"/>
    <w:rsid w:val="00CE0DFD"/>
    <w:rsid w:val="00CE6947"/>
    <w:rsid w:val="00CF1354"/>
    <w:rsid w:val="00CF238F"/>
    <w:rsid w:val="00CF24F5"/>
    <w:rsid w:val="00CF6364"/>
    <w:rsid w:val="00D10E1B"/>
    <w:rsid w:val="00D2284C"/>
    <w:rsid w:val="00D239B7"/>
    <w:rsid w:val="00D30D93"/>
    <w:rsid w:val="00D31C32"/>
    <w:rsid w:val="00D33102"/>
    <w:rsid w:val="00D36982"/>
    <w:rsid w:val="00D50655"/>
    <w:rsid w:val="00D63359"/>
    <w:rsid w:val="00D757D8"/>
    <w:rsid w:val="00D76665"/>
    <w:rsid w:val="00D77C39"/>
    <w:rsid w:val="00D8694F"/>
    <w:rsid w:val="00D86B86"/>
    <w:rsid w:val="00D92546"/>
    <w:rsid w:val="00DA5951"/>
    <w:rsid w:val="00DB1F32"/>
    <w:rsid w:val="00DB2E4F"/>
    <w:rsid w:val="00DE0586"/>
    <w:rsid w:val="00E07195"/>
    <w:rsid w:val="00E11D55"/>
    <w:rsid w:val="00E43997"/>
    <w:rsid w:val="00E4565D"/>
    <w:rsid w:val="00E5785B"/>
    <w:rsid w:val="00E77F2B"/>
    <w:rsid w:val="00EA394E"/>
    <w:rsid w:val="00EA519E"/>
    <w:rsid w:val="00EB7D65"/>
    <w:rsid w:val="00ED3235"/>
    <w:rsid w:val="00EE4A4C"/>
    <w:rsid w:val="00EF5607"/>
    <w:rsid w:val="00F352CB"/>
    <w:rsid w:val="00F41393"/>
    <w:rsid w:val="00F44F36"/>
    <w:rsid w:val="00F4720A"/>
    <w:rsid w:val="00F51D99"/>
    <w:rsid w:val="00F835CD"/>
    <w:rsid w:val="00FC04EA"/>
    <w:rsid w:val="00FC7C40"/>
    <w:rsid w:val="00FF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F7B0AE"/>
  <w15:docId w15:val="{4F65E50C-81C0-40B4-A6B7-0DA83E4F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 w:type="paragraph" w:styleId="Revision">
    <w:name w:val="Revision"/>
    <w:hidden/>
    <w:uiPriority w:val="99"/>
    <w:semiHidden/>
    <w:rsid w:val="00D757D8"/>
    <w:rPr>
      <w:rFonts w:ascii="Segoe UI" w:hAnsi="Segoe UI"/>
      <w:sz w:val="22"/>
      <w:szCs w:val="22"/>
      <w:lang w:eastAsia="en-US"/>
    </w:rPr>
  </w:style>
  <w:style w:type="character" w:styleId="CommentReference">
    <w:name w:val="annotation reference"/>
    <w:basedOn w:val="DefaultParagraphFont"/>
    <w:uiPriority w:val="99"/>
    <w:semiHidden/>
    <w:unhideWhenUsed/>
    <w:rsid w:val="00D757D8"/>
    <w:rPr>
      <w:sz w:val="16"/>
      <w:szCs w:val="16"/>
    </w:rPr>
  </w:style>
  <w:style w:type="paragraph" w:styleId="CommentText">
    <w:name w:val="annotation text"/>
    <w:basedOn w:val="Normal"/>
    <w:link w:val="CommentTextChar"/>
    <w:uiPriority w:val="99"/>
    <w:semiHidden/>
    <w:unhideWhenUsed/>
    <w:rsid w:val="00D757D8"/>
    <w:pPr>
      <w:spacing w:line="240" w:lineRule="auto"/>
    </w:pPr>
    <w:rPr>
      <w:sz w:val="20"/>
      <w:szCs w:val="20"/>
    </w:rPr>
  </w:style>
  <w:style w:type="character" w:customStyle="1" w:styleId="CommentTextChar">
    <w:name w:val="Comment Text Char"/>
    <w:basedOn w:val="DefaultParagraphFont"/>
    <w:link w:val="CommentText"/>
    <w:uiPriority w:val="99"/>
    <w:semiHidden/>
    <w:rsid w:val="00D757D8"/>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D757D8"/>
    <w:rPr>
      <w:b/>
      <w:bCs/>
    </w:rPr>
  </w:style>
  <w:style w:type="character" w:customStyle="1" w:styleId="CommentSubjectChar">
    <w:name w:val="Comment Subject Char"/>
    <w:basedOn w:val="CommentTextChar"/>
    <w:link w:val="CommentSubject"/>
    <w:uiPriority w:val="99"/>
    <w:semiHidden/>
    <w:rsid w:val="00D757D8"/>
    <w:rPr>
      <w:rFonts w:ascii="Segoe UI" w:hAnsi="Segoe UI"/>
      <w:b/>
      <w:bCs/>
      <w:lang w:eastAsia="en-US"/>
    </w:rPr>
  </w:style>
  <w:style w:type="character" w:customStyle="1" w:styleId="UnresolvedMention1">
    <w:name w:val="Unresolved Mention1"/>
    <w:basedOn w:val="DefaultParagraphFont"/>
    <w:uiPriority w:val="99"/>
    <w:semiHidden/>
    <w:unhideWhenUsed/>
    <w:rsid w:val="00CF6364"/>
    <w:rPr>
      <w:color w:val="605E5C"/>
      <w:shd w:val="clear" w:color="auto" w:fill="E1DFDD"/>
    </w:rPr>
  </w:style>
  <w:style w:type="table" w:styleId="TableGrid">
    <w:name w:val="Table Grid"/>
    <w:basedOn w:val="TableNormal"/>
    <w:uiPriority w:val="59"/>
    <w:locked/>
    <w:rsid w:val="00704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a.lloyd@lichfield.anglica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loyd\AppData\Roaming\Microsoft\Templates\DoL%20(LDBE)%20style%20Word%20template.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Services available through the Diocesan Board of Education’s Christian Distinctiveness Advisers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535A83-B065-4BB5-B465-E1AEFED6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 (LDBE) style Word template</Template>
  <TotalTime>9</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Support Services for Church of England Schools, Academies and Community Schools</vt:lpstr>
    </vt:vector>
  </TitlesOfParts>
  <Company>Microsoft</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Services for Church of England Schools, Academies and Community Schools</dc:title>
  <dc:subject>Lichfield Diocesan Board of Education</dc:subject>
  <dc:creator>Paula Lloyd</dc:creator>
  <cp:lastModifiedBy>Paula Lloyd</cp:lastModifiedBy>
  <cp:revision>3</cp:revision>
  <cp:lastPrinted>2021-04-13T08:36:00Z</cp:lastPrinted>
  <dcterms:created xsi:type="dcterms:W3CDTF">2021-09-01T10:18:00Z</dcterms:created>
  <dcterms:modified xsi:type="dcterms:W3CDTF">2021-09-01T10:25:00Z</dcterms:modified>
</cp:coreProperties>
</file>