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9218EA" w:rsidR="00341A93" w:rsidRDefault="009218EA" w14:paraId="0B40F43E" w14:textId="50172823">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Pr="009218EA" w:rsidR="00341A93">
        <w:rPr>
          <w:b/>
          <w:lang w:val="en-GB"/>
        </w:rPr>
        <w:t>St Mary’s Catholic School</w:t>
      </w:r>
    </w:p>
    <w:p w:rsidR="00341A93" w:rsidRDefault="007B1995" w14:paraId="55E6A78B" w14:textId="36BDF499">
      <w:pPr>
        <w:rPr>
          <w:lang w:val="en-GB"/>
        </w:rPr>
      </w:pPr>
      <w:r>
        <w:rPr>
          <w:lang w:val="en-GB"/>
        </w:rPr>
        <w:t>Department</w:t>
      </w:r>
      <w:r w:rsidR="00341A93">
        <w:rPr>
          <w:lang w:val="en-GB"/>
        </w:rPr>
        <w:t xml:space="preserve"> Curriculum Planning</w:t>
      </w:r>
    </w:p>
    <w:p w:rsidR="00341A93" w:rsidRDefault="009218EA" w14:paraId="0CB6621B" w14:textId="01066074">
      <w:pPr>
        <w:rPr>
          <w:lang w:val="en-GB"/>
        </w:rPr>
      </w:pPr>
      <w:r w:rsidRPr="7B8E789D" w:rsidR="009218EA">
        <w:rPr>
          <w:lang w:val="en-GB"/>
        </w:rPr>
        <w:t>Department</w:t>
      </w:r>
      <w:r w:rsidRPr="7B8E789D" w:rsidR="00AB16D0">
        <w:rPr>
          <w:lang w:val="en-GB"/>
        </w:rPr>
        <w:t xml:space="preserve">: </w:t>
      </w:r>
      <w:r w:rsidRPr="7B8E789D" w:rsidR="6975EBBB">
        <w:rPr>
          <w:b w:val="1"/>
          <w:bCs w:val="1"/>
          <w:color w:val="7030A0"/>
          <w:lang w:val="en-GB"/>
        </w:rPr>
        <w:t>Maths</w:t>
      </w:r>
    </w:p>
    <w:p w:rsidR="00D57FF3" w:rsidRDefault="00D57FF3" w14:paraId="3B5CEA64" w14:textId="77777777">
      <w:pPr>
        <w:rPr>
          <w:lang w:val="en-GB"/>
        </w:rPr>
      </w:pPr>
    </w:p>
    <w:p w:rsidRPr="007B04C0" w:rsidR="00D06802" w:rsidRDefault="00312C50" w14:paraId="2C4D949B" w14:textId="0D466185">
      <w:pPr>
        <w:rPr>
          <w:sz w:val="21"/>
          <w:szCs w:val="21"/>
          <w:lang w:val="en-GB"/>
        </w:rPr>
      </w:pPr>
      <w:r w:rsidRPr="7B8E789D" w:rsidR="00312C50">
        <w:rPr>
          <w:sz w:val="21"/>
          <w:szCs w:val="21"/>
          <w:lang w:val="en-GB"/>
        </w:rPr>
        <w:t>Year Group</w:t>
      </w:r>
      <w:r w:rsidRPr="7B8E789D" w:rsidR="009218EA">
        <w:rPr>
          <w:sz w:val="21"/>
          <w:szCs w:val="21"/>
          <w:lang w:val="en-GB"/>
        </w:rPr>
        <w:t xml:space="preserve">: </w:t>
      </w:r>
      <w:r w:rsidRPr="7B8E789D" w:rsidR="0392ACB9">
        <w:rPr>
          <w:b w:val="1"/>
          <w:bCs w:val="1"/>
          <w:color w:val="7030A0"/>
          <w:sz w:val="21"/>
          <w:szCs w:val="21"/>
          <w:lang w:val="en-GB"/>
        </w:rPr>
        <w:t>Year 11</w:t>
      </w:r>
    </w:p>
    <w:p w:rsidRPr="007B04C0" w:rsidR="00312C50" w:rsidRDefault="00312C50" w14:paraId="374AD201" w14:textId="77777777">
      <w:pPr>
        <w:rPr>
          <w:sz w:val="21"/>
          <w:szCs w:val="21"/>
          <w:lang w:val="en-GB"/>
        </w:rPr>
      </w:pPr>
    </w:p>
    <w:p w:rsidRPr="007B04C0" w:rsidR="00312C50" w:rsidP="7B8E789D" w:rsidRDefault="00F95822" w14:paraId="4C674615" w14:textId="7C7083B5">
      <w:pPr>
        <w:rPr>
          <w:b w:val="1"/>
          <w:bCs w:val="1"/>
          <w:color w:val="7030A0"/>
          <w:sz w:val="21"/>
          <w:szCs w:val="21"/>
          <w:lang w:val="en-GB"/>
        </w:rPr>
      </w:pPr>
      <w:r w:rsidRPr="7B8E789D" w:rsidR="00F95822">
        <w:rPr>
          <w:sz w:val="21"/>
          <w:szCs w:val="21"/>
          <w:lang w:val="en-GB"/>
        </w:rPr>
        <w:t>This is the plan for the taught curriculum during a</w:t>
      </w:r>
      <w:r w:rsidRPr="7B8E789D" w:rsidR="00AB16D0">
        <w:rPr>
          <w:sz w:val="21"/>
          <w:szCs w:val="21"/>
          <w:lang w:val="en-GB"/>
        </w:rPr>
        <w:t>chievement</w:t>
      </w:r>
      <w:r w:rsidRPr="7B8E789D" w:rsidR="00F95822">
        <w:rPr>
          <w:sz w:val="21"/>
          <w:szCs w:val="21"/>
          <w:lang w:val="en-GB"/>
        </w:rPr>
        <w:t xml:space="preserve"> period</w:t>
      </w:r>
      <w:r w:rsidRPr="7B8E789D" w:rsidR="00122AA1">
        <w:rPr>
          <w:sz w:val="21"/>
          <w:szCs w:val="21"/>
          <w:lang w:val="en-GB"/>
        </w:rPr>
        <w:t>:</w:t>
      </w:r>
      <w:r w:rsidRPr="7B8E789D" w:rsidR="00AB16D0">
        <w:rPr>
          <w:sz w:val="21"/>
          <w:szCs w:val="21"/>
          <w:lang w:val="en-GB"/>
        </w:rPr>
        <w:t xml:space="preserve"> </w:t>
      </w:r>
      <w:r w:rsidRPr="7B8E789D" w:rsidR="04EBC1E9">
        <w:rPr>
          <w:b w:val="1"/>
          <w:bCs w:val="1"/>
          <w:color w:val="7030A0"/>
          <w:sz w:val="21"/>
          <w:szCs w:val="21"/>
          <w:lang w:val="en-GB"/>
        </w:rPr>
        <w:t>Two (Jan-May)</w:t>
      </w:r>
    </w:p>
    <w:p w:rsidRPr="007B04C0" w:rsidR="00AA005C" w:rsidRDefault="00AA005C" w14:paraId="30F865AD" w14:textId="77777777">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Pr="007B04C0" w:rsidR="00AA005C" w:rsidTr="7B8E789D" w14:paraId="69A11376" w14:textId="77777777">
        <w:tc>
          <w:tcPr>
            <w:tcW w:w="10632" w:type="dxa"/>
            <w:shd w:val="clear" w:color="auto" w:fill="E2EFD9" w:themeFill="accent6" w:themeFillTint="33"/>
            <w:tcMar/>
          </w:tcPr>
          <w:p w:rsidRPr="007B04C0" w:rsidR="00AA005C" w:rsidP="00717220" w:rsidRDefault="007B1995" w14:paraId="446173B7" w14:textId="7016F072">
            <w:pPr>
              <w:tabs>
                <w:tab w:val="right" w:pos="8794"/>
              </w:tabs>
              <w:rPr>
                <w:b/>
                <w:sz w:val="21"/>
                <w:szCs w:val="21"/>
                <w:lang w:val="en-GB"/>
              </w:rPr>
            </w:pPr>
            <w:r w:rsidRPr="007B04C0">
              <w:rPr>
                <w:b/>
                <w:sz w:val="21"/>
                <w:szCs w:val="21"/>
                <w:lang w:val="en-GB"/>
              </w:rPr>
              <w:t>B</w:t>
            </w:r>
            <w:r w:rsidRPr="007B04C0" w:rsidR="00AA005C">
              <w:rPr>
                <w:b/>
                <w:sz w:val="21"/>
                <w:szCs w:val="21"/>
                <w:lang w:val="en-GB"/>
              </w:rPr>
              <w:t>rief summary of the topic/work being covered during this period</w:t>
            </w:r>
            <w:r w:rsidRPr="007B04C0" w:rsidR="00717220">
              <w:rPr>
                <w:b/>
                <w:sz w:val="21"/>
                <w:szCs w:val="21"/>
                <w:lang w:val="en-GB"/>
              </w:rPr>
              <w:tab/>
            </w:r>
          </w:p>
        </w:tc>
      </w:tr>
      <w:tr w:rsidRPr="007B04C0" w:rsidR="008315F1" w:rsidTr="7B8E789D" w14:paraId="4BF128E6" w14:textId="77777777">
        <w:tc>
          <w:tcPr>
            <w:tcW w:w="10632" w:type="dxa"/>
            <w:tcMar/>
          </w:tcPr>
          <w:p w:rsidR="007B1995" w:rsidP="7B8E789D" w:rsidRDefault="007B1995" w14:paraId="46819FB6" w14:textId="0061B760">
            <w:pPr>
              <w:jc w:val="both"/>
              <w:rPr>
                <w:b w:val="0"/>
                <w:bCs w:val="0"/>
                <w:sz w:val="20"/>
                <w:szCs w:val="20"/>
                <w:lang w:val="en-GB"/>
              </w:rPr>
            </w:pPr>
            <w:r w:rsidRPr="7B8E789D" w:rsidR="749DC2B6">
              <w:rPr>
                <w:b w:val="0"/>
                <w:bCs w:val="0"/>
                <w:sz w:val="20"/>
                <w:szCs w:val="20"/>
                <w:lang w:val="en-GB"/>
              </w:rPr>
              <w:t>The work being covered during this period will vary from class to class, depending on ability as well as tier of entry</w:t>
            </w:r>
            <w:r w:rsidRPr="7B8E789D" w:rsidR="079CB78D">
              <w:rPr>
                <w:b w:val="0"/>
                <w:bCs w:val="0"/>
                <w:sz w:val="20"/>
                <w:szCs w:val="20"/>
                <w:lang w:val="en-GB"/>
              </w:rPr>
              <w:t xml:space="preserve"> (this will largely have been determined within a few weeks of the start of this period, if not already).</w:t>
            </w:r>
          </w:p>
          <w:p w:rsidR="004F3C65" w:rsidP="7B8E789D" w:rsidRDefault="004F3C65" w14:paraId="445A4E47" w14:textId="374211CC">
            <w:pPr>
              <w:pStyle w:val="Normal"/>
              <w:jc w:val="both"/>
              <w:rPr>
                <w:b w:val="0"/>
                <w:bCs w:val="0"/>
                <w:sz w:val="20"/>
                <w:szCs w:val="20"/>
                <w:lang w:val="en-GB"/>
              </w:rPr>
            </w:pPr>
          </w:p>
          <w:p w:rsidR="004F3C65" w:rsidP="7B8E789D" w:rsidRDefault="004F3C65" w14:paraId="28AB6DEE" w14:textId="69F2872A">
            <w:pPr>
              <w:pStyle w:val="Normal"/>
              <w:jc w:val="both"/>
              <w:rPr>
                <w:b w:val="0"/>
                <w:bCs w:val="0"/>
                <w:sz w:val="20"/>
                <w:szCs w:val="20"/>
                <w:lang w:val="en-GB"/>
              </w:rPr>
            </w:pPr>
            <w:r w:rsidRPr="7B8E789D" w:rsidR="3472CB4F">
              <w:rPr>
                <w:b w:val="0"/>
                <w:bCs w:val="0"/>
                <w:sz w:val="20"/>
                <w:szCs w:val="20"/>
                <w:lang w:val="en-GB"/>
              </w:rPr>
              <w:t xml:space="preserve">As Ratio and Proportion </w:t>
            </w:r>
            <w:r w:rsidRPr="7B8E789D" w:rsidR="78FA14C2">
              <w:rPr>
                <w:b w:val="0"/>
                <w:bCs w:val="0"/>
                <w:sz w:val="20"/>
                <w:szCs w:val="20"/>
                <w:lang w:val="en-GB"/>
              </w:rPr>
              <w:t xml:space="preserve">now </w:t>
            </w:r>
            <w:r w:rsidRPr="7B8E789D" w:rsidR="3472CB4F">
              <w:rPr>
                <w:b w:val="0"/>
                <w:bCs w:val="0"/>
                <w:sz w:val="20"/>
                <w:szCs w:val="20"/>
                <w:lang w:val="en-GB"/>
              </w:rPr>
              <w:t>play a much greater role in the GCSE syllabus, foundation</w:t>
            </w:r>
            <w:r w:rsidRPr="7B8E789D" w:rsidR="5FFBF6BD">
              <w:rPr>
                <w:b w:val="0"/>
                <w:bCs w:val="0"/>
                <w:sz w:val="20"/>
                <w:szCs w:val="20"/>
                <w:lang w:val="en-GB"/>
              </w:rPr>
              <w:t xml:space="preserve"> classes will spend the first two weeks of this period reviewing and extending their understanding of this area.</w:t>
            </w:r>
          </w:p>
          <w:p w:rsidR="004F3C65" w:rsidP="7B8E789D" w:rsidRDefault="004F3C65" w14:paraId="3574F9C6" w14:textId="7A59D281">
            <w:pPr>
              <w:pStyle w:val="Normal"/>
              <w:jc w:val="both"/>
              <w:rPr>
                <w:b w:val="0"/>
                <w:bCs w:val="0"/>
                <w:sz w:val="20"/>
                <w:szCs w:val="20"/>
                <w:lang w:val="en-GB"/>
              </w:rPr>
            </w:pPr>
          </w:p>
          <w:p w:rsidR="004F3C65" w:rsidP="7B8E789D" w:rsidRDefault="004F3C65" w14:paraId="100C8323" w14:textId="3D5A17F0">
            <w:pPr>
              <w:pStyle w:val="Normal"/>
              <w:jc w:val="both"/>
              <w:rPr>
                <w:b w:val="0"/>
                <w:bCs w:val="0"/>
                <w:sz w:val="20"/>
                <w:szCs w:val="20"/>
                <w:lang w:val="en-GB"/>
              </w:rPr>
            </w:pPr>
            <w:r w:rsidRPr="7B8E789D" w:rsidR="5FFBF6BD">
              <w:rPr>
                <w:b w:val="0"/>
                <w:bCs w:val="0"/>
                <w:sz w:val="20"/>
                <w:szCs w:val="20"/>
                <w:lang w:val="en-GB"/>
              </w:rPr>
              <w:t>Higher classes will finish looking at the more advanced algebraic manipulation</w:t>
            </w:r>
            <w:r w:rsidRPr="7B8E789D" w:rsidR="5F374FE1">
              <w:rPr>
                <w:b w:val="0"/>
                <w:bCs w:val="0"/>
                <w:sz w:val="20"/>
                <w:szCs w:val="20"/>
                <w:lang w:val="en-GB"/>
              </w:rPr>
              <w:t xml:space="preserve"> and then non-right-angled trigonometry to finish off their GCSE content.</w:t>
            </w:r>
            <w:r w:rsidRPr="7B8E789D" w:rsidR="3136A7F5">
              <w:rPr>
                <w:b w:val="0"/>
                <w:bCs w:val="0"/>
                <w:sz w:val="20"/>
                <w:szCs w:val="20"/>
                <w:lang w:val="en-GB"/>
              </w:rPr>
              <w:t xml:space="preserve"> Sets 1 and 2 will then finish the</w:t>
            </w:r>
            <w:r w:rsidRPr="7B8E789D" w:rsidR="04401FE8">
              <w:rPr>
                <w:b w:val="0"/>
                <w:bCs w:val="0"/>
                <w:sz w:val="20"/>
                <w:szCs w:val="20"/>
                <w:lang w:val="en-GB"/>
              </w:rPr>
              <w:t xml:space="preserve"> final two topics of their GCSE further mathematics study (which should take them up to Easter – see Further Maths curriculum plans).</w:t>
            </w:r>
          </w:p>
          <w:p w:rsidR="004F3C65" w:rsidP="7B8E789D" w:rsidRDefault="004F3C65" w14:paraId="143BF3DA" w14:textId="72CD5008">
            <w:pPr>
              <w:pStyle w:val="Normal"/>
              <w:jc w:val="both"/>
              <w:rPr>
                <w:b w:val="0"/>
                <w:bCs w:val="0"/>
                <w:sz w:val="20"/>
                <w:szCs w:val="20"/>
                <w:lang w:val="en-GB"/>
              </w:rPr>
            </w:pPr>
          </w:p>
          <w:p w:rsidR="004F3C65" w:rsidP="7B8E789D" w:rsidRDefault="004F3C65" w14:paraId="1CB5A09C" w14:textId="15EA4A13">
            <w:pPr>
              <w:pStyle w:val="Normal"/>
              <w:jc w:val="both"/>
              <w:rPr>
                <w:b w:val="0"/>
                <w:bCs w:val="0"/>
                <w:sz w:val="21"/>
                <w:szCs w:val="21"/>
                <w:lang w:val="en-GB"/>
              </w:rPr>
            </w:pPr>
            <w:r w:rsidRPr="7B8E789D" w:rsidR="04401FE8">
              <w:rPr>
                <w:b w:val="0"/>
                <w:bCs w:val="0"/>
                <w:sz w:val="20"/>
                <w:szCs w:val="20"/>
                <w:lang w:val="en-GB"/>
              </w:rPr>
              <w:t>Once a class has finished covering the required content of the GCSE syllabus, they will begin a cycle of assessment, review and revision</w:t>
            </w:r>
            <w:r w:rsidRPr="7B8E789D" w:rsidR="494B9B7D">
              <w:rPr>
                <w:b w:val="0"/>
                <w:bCs w:val="0"/>
                <w:sz w:val="20"/>
                <w:szCs w:val="20"/>
                <w:lang w:val="en-GB"/>
              </w:rPr>
              <w:t xml:space="preserve"> of topic areas relevant to that </w:t>
            </w:r>
            <w:proofErr w:type="gramStart"/>
            <w:r w:rsidRPr="7B8E789D" w:rsidR="494B9B7D">
              <w:rPr>
                <w:b w:val="0"/>
                <w:bCs w:val="0"/>
                <w:sz w:val="20"/>
                <w:szCs w:val="20"/>
                <w:lang w:val="en-GB"/>
              </w:rPr>
              <w:t>particular class</w:t>
            </w:r>
            <w:proofErr w:type="gramEnd"/>
            <w:r w:rsidRPr="7B8E789D" w:rsidR="494B9B7D">
              <w:rPr>
                <w:b w:val="0"/>
                <w:bCs w:val="0"/>
                <w:sz w:val="20"/>
                <w:szCs w:val="20"/>
                <w:lang w:val="en-GB"/>
              </w:rPr>
              <w:t>, based on these regular assessments. As such</w:t>
            </w:r>
            <w:r w:rsidRPr="7B8E789D" w:rsidR="525A2E64">
              <w:rPr>
                <w:b w:val="0"/>
                <w:bCs w:val="0"/>
                <w:sz w:val="20"/>
                <w:szCs w:val="20"/>
                <w:lang w:val="en-GB"/>
              </w:rPr>
              <w:t xml:space="preserve">, each class will be covering different material </w:t>
            </w:r>
            <w:r w:rsidRPr="7B8E789D" w:rsidR="6BE6A4F1">
              <w:rPr>
                <w:b w:val="0"/>
                <w:bCs w:val="0"/>
                <w:sz w:val="20"/>
                <w:szCs w:val="20"/>
                <w:lang w:val="en-GB"/>
              </w:rPr>
              <w:t>week by week. Teachers will complete brief medium-term plans that will be checked against the question-level-analysis of assessments</w:t>
            </w:r>
            <w:r w:rsidRPr="7B8E789D" w:rsidR="4556B348">
              <w:rPr>
                <w:b w:val="0"/>
                <w:bCs w:val="0"/>
                <w:sz w:val="20"/>
                <w:szCs w:val="20"/>
                <w:lang w:val="en-GB"/>
              </w:rPr>
              <w:t xml:space="preserve"> to ensure appropriate content is being revised with their class</w:t>
            </w:r>
            <w:r w:rsidRPr="7B8E789D" w:rsidR="4556B348">
              <w:rPr>
                <w:b w:val="0"/>
                <w:bCs w:val="0"/>
                <w:sz w:val="21"/>
                <w:szCs w:val="21"/>
                <w:lang w:val="en-GB"/>
              </w:rPr>
              <w:t>.</w:t>
            </w:r>
          </w:p>
          <w:p w:rsidRPr="004F3C65" w:rsidR="004F3C65" w:rsidP="004F3C65" w:rsidRDefault="004F3C65" w14:paraId="19C23ED5" w14:textId="75D8E427">
            <w:pPr>
              <w:jc w:val="both"/>
              <w:rPr>
                <w:b/>
                <w:sz w:val="21"/>
                <w:szCs w:val="21"/>
                <w:lang w:val="en-GB"/>
              </w:rPr>
            </w:pPr>
          </w:p>
        </w:tc>
      </w:tr>
      <w:tr w:rsidRPr="007B04C0" w:rsidR="007B1995" w:rsidTr="7B8E789D" w14:paraId="07B414B0" w14:textId="77777777">
        <w:tc>
          <w:tcPr>
            <w:tcW w:w="10632" w:type="dxa"/>
            <w:shd w:val="clear" w:color="auto" w:fill="E2EFD9" w:themeFill="accent6" w:themeFillTint="33"/>
            <w:tcMar/>
          </w:tcPr>
          <w:p w:rsidRPr="007B04C0" w:rsidR="007B1995" w:rsidP="007B1995" w:rsidRDefault="006E5B6C" w14:paraId="74FC2212" w14:textId="72A33205">
            <w:pPr>
              <w:jc w:val="both"/>
              <w:rPr>
                <w:sz w:val="21"/>
                <w:szCs w:val="21"/>
                <w:lang w:val="en-GB"/>
              </w:rPr>
            </w:pPr>
            <w:r>
              <w:rPr>
                <w:b/>
                <w:sz w:val="21"/>
                <w:szCs w:val="21"/>
                <w:lang w:val="en-GB"/>
              </w:rPr>
              <w:t>P</w:t>
            </w:r>
            <w:r w:rsidRPr="007B04C0" w:rsidR="007B1995">
              <w:rPr>
                <w:b/>
                <w:sz w:val="21"/>
                <w:szCs w:val="21"/>
                <w:lang w:val="en-GB"/>
              </w:rPr>
              <w:t>rior knowledge needed for this unit/topic from previous teaching</w:t>
            </w:r>
          </w:p>
        </w:tc>
      </w:tr>
      <w:tr w:rsidRPr="007B04C0" w:rsidR="007B1995" w:rsidTr="7B8E789D" w14:paraId="5B1F8AB2" w14:textId="77777777">
        <w:tc>
          <w:tcPr>
            <w:tcW w:w="10632" w:type="dxa"/>
            <w:tcMar/>
          </w:tcPr>
          <w:p w:rsidR="007B1995" w:rsidP="7B8E789D" w:rsidRDefault="007B1995" w14:paraId="10700278" w14:textId="012DF175">
            <w:pPr>
              <w:rPr>
                <w:b w:val="1"/>
                <w:bCs w:val="1"/>
                <w:sz w:val="21"/>
                <w:szCs w:val="21"/>
                <w:lang w:val="en-GB"/>
              </w:rPr>
            </w:pPr>
            <w:r w:rsidRPr="7B8E789D" w:rsidR="7ED9D59E">
              <w:rPr>
                <w:b w:val="1"/>
                <w:bCs w:val="1"/>
                <w:sz w:val="21"/>
                <w:szCs w:val="21"/>
                <w:lang w:val="en-GB"/>
              </w:rPr>
              <w:t>Higher;</w:t>
            </w:r>
          </w:p>
          <w:p w:rsidR="7ED9D59E" w:rsidP="7B8E789D" w:rsidRDefault="7ED9D59E" w14:paraId="2DA7AE07" w14:textId="1AE461C5">
            <w:pPr>
              <w:pStyle w:val="ListParagraph"/>
              <w:numPr>
                <w:ilvl w:val="0"/>
                <w:numId w:val="17"/>
              </w:numPr>
              <w:rPr>
                <w:rFonts w:ascii="Calibri" w:hAnsi="Calibri" w:eastAsia="Calibri" w:cs="Calibri" w:asciiTheme="minorAscii" w:hAnsiTheme="minorAscii" w:eastAsiaTheme="minorAscii" w:cstheme="minorAscii"/>
                <w:b w:val="0"/>
                <w:bCs w:val="0"/>
                <w:sz w:val="21"/>
                <w:szCs w:val="21"/>
                <w:lang w:val="en-GB"/>
              </w:rPr>
            </w:pPr>
            <w:r w:rsidRPr="7B8E789D" w:rsidR="7ED9D59E">
              <w:rPr>
                <w:b w:val="0"/>
                <w:bCs w:val="0"/>
                <w:sz w:val="21"/>
                <w:szCs w:val="21"/>
                <w:lang w:val="en-GB"/>
              </w:rPr>
              <w:t>Algebraic Manipulation – Recognise quadratic equations</w:t>
            </w:r>
            <w:r w:rsidRPr="7B8E789D" w:rsidR="7D24D3E7">
              <w:rPr>
                <w:b w:val="0"/>
                <w:bCs w:val="0"/>
                <w:sz w:val="21"/>
                <w:szCs w:val="21"/>
                <w:lang w:val="en-GB"/>
              </w:rPr>
              <w:t>, solve quadratic equations by factorising</w:t>
            </w:r>
            <w:r w:rsidRPr="7B8E789D" w:rsidR="20FE8FF4">
              <w:rPr>
                <w:b w:val="0"/>
                <w:bCs w:val="0"/>
                <w:sz w:val="21"/>
                <w:szCs w:val="21"/>
                <w:lang w:val="en-GB"/>
              </w:rPr>
              <w:t>, set up and solve linear simultaneous equations.</w:t>
            </w:r>
          </w:p>
          <w:p w:rsidR="20FE8FF4" w:rsidP="7B8E789D" w:rsidRDefault="20FE8FF4" w14:paraId="633C1418" w14:textId="27259ECA">
            <w:pPr>
              <w:pStyle w:val="ListParagraph"/>
              <w:numPr>
                <w:ilvl w:val="0"/>
                <w:numId w:val="17"/>
              </w:numPr>
              <w:rPr>
                <w:b w:val="0"/>
                <w:bCs w:val="0"/>
                <w:sz w:val="21"/>
                <w:szCs w:val="21"/>
                <w:lang w:val="en-GB"/>
              </w:rPr>
            </w:pPr>
            <w:r w:rsidRPr="7B8E789D" w:rsidR="20FE8FF4">
              <w:rPr>
                <w:b w:val="0"/>
                <w:bCs w:val="0"/>
                <w:sz w:val="21"/>
                <w:szCs w:val="21"/>
                <w:lang w:val="en-GB"/>
              </w:rPr>
              <w:t>Further Trigonometry – understand and be able to solve right-angled trigonometric problems, substitute into given formulae.</w:t>
            </w:r>
          </w:p>
          <w:p w:rsidR="7B8E789D" w:rsidP="7B8E789D" w:rsidRDefault="7B8E789D" w14:paraId="414F4451" w14:textId="39B20E78">
            <w:pPr>
              <w:pStyle w:val="Normal"/>
              <w:rPr>
                <w:b w:val="0"/>
                <w:bCs w:val="0"/>
                <w:sz w:val="21"/>
                <w:szCs w:val="21"/>
                <w:lang w:val="en-GB"/>
              </w:rPr>
            </w:pPr>
          </w:p>
          <w:p w:rsidR="004F3C65" w:rsidP="7B8E789D" w:rsidRDefault="004F3C65" w14:paraId="12B19CF8" w14:textId="0E9E1181">
            <w:pPr>
              <w:rPr>
                <w:b w:val="0"/>
                <w:bCs w:val="0"/>
                <w:sz w:val="21"/>
                <w:szCs w:val="21"/>
                <w:lang w:val="en-GB"/>
              </w:rPr>
            </w:pPr>
            <w:r w:rsidRPr="7B8E789D" w:rsidR="65F4A211">
              <w:rPr>
                <w:b w:val="0"/>
                <w:bCs w:val="0"/>
                <w:sz w:val="21"/>
                <w:szCs w:val="21"/>
                <w:lang w:val="en-GB"/>
              </w:rPr>
              <w:t xml:space="preserve">For the remainder of this term, </w:t>
            </w:r>
            <w:r w:rsidRPr="7B8E789D" w:rsidR="38124F96">
              <w:rPr>
                <w:b w:val="0"/>
                <w:bCs w:val="0"/>
                <w:sz w:val="21"/>
                <w:szCs w:val="21"/>
                <w:lang w:val="en-GB"/>
              </w:rPr>
              <w:t xml:space="preserve">and for all other classes, </w:t>
            </w:r>
            <w:r w:rsidRPr="7B8E789D" w:rsidR="65F4A211">
              <w:rPr>
                <w:b w:val="0"/>
                <w:bCs w:val="0"/>
                <w:sz w:val="21"/>
                <w:szCs w:val="21"/>
                <w:lang w:val="en-GB"/>
              </w:rPr>
              <w:t xml:space="preserve">assessments will be used to </w:t>
            </w:r>
            <w:r w:rsidRPr="7B8E789D" w:rsidR="4795B1FB">
              <w:rPr>
                <w:b w:val="0"/>
                <w:bCs w:val="0"/>
                <w:sz w:val="21"/>
                <w:szCs w:val="21"/>
                <w:lang w:val="en-GB"/>
              </w:rPr>
              <w:t xml:space="preserve">review prior </w:t>
            </w:r>
            <w:proofErr w:type="gramStart"/>
            <w:r w:rsidRPr="7B8E789D" w:rsidR="4795B1FB">
              <w:rPr>
                <w:b w:val="0"/>
                <w:bCs w:val="0"/>
                <w:sz w:val="21"/>
                <w:szCs w:val="21"/>
                <w:lang w:val="en-GB"/>
              </w:rPr>
              <w:t>knowledge</w:t>
            </w:r>
            <w:proofErr w:type="gramEnd"/>
            <w:r w:rsidRPr="7B8E789D" w:rsidR="41B34DB9">
              <w:rPr>
                <w:b w:val="0"/>
                <w:bCs w:val="0"/>
                <w:sz w:val="21"/>
                <w:szCs w:val="21"/>
                <w:lang w:val="en-GB"/>
              </w:rPr>
              <w:t xml:space="preserve"> </w:t>
            </w:r>
            <w:r w:rsidRPr="7B8E789D" w:rsidR="14028BB4">
              <w:rPr>
                <w:b w:val="0"/>
                <w:bCs w:val="0"/>
                <w:sz w:val="21"/>
                <w:szCs w:val="21"/>
                <w:lang w:val="en-GB"/>
              </w:rPr>
              <w:t>and this will be built upon to further understanding and fill any gaps in knowledge.</w:t>
            </w:r>
          </w:p>
          <w:p w:rsidRPr="004F3C65" w:rsidR="004F3C65" w:rsidP="004F3C65" w:rsidRDefault="004F3C65" w14:paraId="30878C56" w14:textId="7BE4C6F5">
            <w:pPr>
              <w:rPr>
                <w:b/>
                <w:sz w:val="21"/>
                <w:szCs w:val="21"/>
                <w:lang w:val="en-GB"/>
              </w:rPr>
            </w:pPr>
          </w:p>
        </w:tc>
      </w:tr>
      <w:tr w:rsidRPr="007B04C0" w:rsidR="00AA005C" w:rsidTr="7B8E789D" w14:paraId="079F81EC" w14:textId="77777777">
        <w:tc>
          <w:tcPr>
            <w:tcW w:w="10632" w:type="dxa"/>
            <w:shd w:val="clear" w:color="auto" w:fill="E2EFD9" w:themeFill="accent6" w:themeFillTint="33"/>
            <w:tcMar/>
          </w:tcPr>
          <w:p w:rsidRPr="007B04C0" w:rsidR="00AA005C" w:rsidRDefault="007B1995" w14:paraId="7DBAF03E" w14:textId="26CF0E01">
            <w:pPr>
              <w:rPr>
                <w:b/>
                <w:sz w:val="21"/>
                <w:szCs w:val="21"/>
                <w:lang w:val="en-GB"/>
              </w:rPr>
            </w:pPr>
            <w:r w:rsidRPr="007B04C0">
              <w:rPr>
                <w:b/>
                <w:sz w:val="21"/>
                <w:szCs w:val="21"/>
                <w:lang w:val="en-GB"/>
              </w:rPr>
              <w:t>R</w:t>
            </w:r>
            <w:r w:rsidRPr="007B04C0" w:rsidR="00AA005C">
              <w:rPr>
                <w:b/>
                <w:sz w:val="21"/>
                <w:szCs w:val="21"/>
                <w:lang w:val="en-GB"/>
              </w:rPr>
              <w:t>ationale for students studying this unit/topic</w:t>
            </w:r>
            <w:r w:rsidRPr="007B04C0">
              <w:rPr>
                <w:b/>
                <w:sz w:val="21"/>
                <w:szCs w:val="21"/>
                <w:lang w:val="en-GB"/>
              </w:rPr>
              <w:t xml:space="preserve"> </w:t>
            </w:r>
          </w:p>
        </w:tc>
      </w:tr>
      <w:tr w:rsidRPr="007B04C0" w:rsidR="008315F1" w:rsidTr="7B8E789D" w14:paraId="5B871996" w14:textId="77777777">
        <w:tc>
          <w:tcPr>
            <w:tcW w:w="10632" w:type="dxa"/>
            <w:tcMar/>
          </w:tcPr>
          <w:p w:rsidR="004F3C65" w:rsidP="7B8E789D" w:rsidRDefault="004F3C65" w14:paraId="6D94EA5F" w14:textId="3083792A">
            <w:pPr>
              <w:jc w:val="both"/>
              <w:rPr>
                <w:i w:val="0"/>
                <w:iCs w:val="0"/>
                <w:sz w:val="21"/>
                <w:szCs w:val="21"/>
                <w:lang w:val="en-GB"/>
              </w:rPr>
            </w:pPr>
            <w:r w:rsidRPr="7B8E789D" w:rsidR="03002F6E">
              <w:rPr>
                <w:i w:val="0"/>
                <w:iCs w:val="0"/>
                <w:sz w:val="21"/>
                <w:szCs w:val="21"/>
                <w:lang w:val="en-GB"/>
              </w:rPr>
              <w:t>The most challenging topics at the higher level GCSE are left to this end stage of the course to ensure students have the academic maturity to cope with the complexity of the problems presented.</w:t>
            </w:r>
          </w:p>
          <w:p w:rsidR="004F3C65" w:rsidP="7B8E789D" w:rsidRDefault="004F3C65" w14:paraId="07CBE0E7" w14:textId="67ECF1CA">
            <w:pPr>
              <w:pStyle w:val="Normal"/>
              <w:jc w:val="both"/>
              <w:rPr>
                <w:i w:val="0"/>
                <w:iCs w:val="0"/>
                <w:sz w:val="21"/>
                <w:szCs w:val="21"/>
                <w:lang w:val="en-GB"/>
              </w:rPr>
            </w:pPr>
          </w:p>
          <w:p w:rsidR="004F3C65" w:rsidP="7B8E789D" w:rsidRDefault="004F3C65" w14:paraId="34A9CD55" w14:textId="41207B5D">
            <w:pPr>
              <w:pStyle w:val="Normal"/>
              <w:jc w:val="both"/>
              <w:rPr>
                <w:i w:val="0"/>
                <w:iCs w:val="0"/>
                <w:sz w:val="21"/>
                <w:szCs w:val="21"/>
                <w:lang w:val="en-GB"/>
              </w:rPr>
            </w:pPr>
            <w:r w:rsidRPr="7B8E789D" w:rsidR="0E70AA44">
              <w:rPr>
                <w:i w:val="0"/>
                <w:iCs w:val="0"/>
                <w:sz w:val="21"/>
                <w:szCs w:val="21"/>
                <w:lang w:val="en-GB"/>
              </w:rPr>
              <w:t xml:space="preserve">Topics being reviewed and revised with each individual class </w:t>
            </w:r>
            <w:r w:rsidRPr="7B8E789D" w:rsidR="6FFC50B5">
              <w:rPr>
                <w:i w:val="0"/>
                <w:iCs w:val="0"/>
                <w:sz w:val="21"/>
                <w:szCs w:val="21"/>
                <w:lang w:val="en-GB"/>
              </w:rPr>
              <w:t xml:space="preserve">over a </w:t>
            </w:r>
            <w:proofErr w:type="gramStart"/>
            <w:r w:rsidRPr="7B8E789D" w:rsidR="6FFC50B5">
              <w:rPr>
                <w:i w:val="0"/>
                <w:iCs w:val="0"/>
                <w:sz w:val="21"/>
                <w:szCs w:val="21"/>
                <w:lang w:val="en-GB"/>
              </w:rPr>
              <w:t>two week</w:t>
            </w:r>
            <w:proofErr w:type="gramEnd"/>
            <w:r w:rsidRPr="7B8E789D" w:rsidR="6FFC50B5">
              <w:rPr>
                <w:i w:val="0"/>
                <w:iCs w:val="0"/>
                <w:sz w:val="21"/>
                <w:szCs w:val="21"/>
                <w:lang w:val="en-GB"/>
              </w:rPr>
              <w:t xml:space="preserve"> period </w:t>
            </w:r>
            <w:r w:rsidRPr="7B8E789D" w:rsidR="0E70AA44">
              <w:rPr>
                <w:i w:val="0"/>
                <w:iCs w:val="0"/>
                <w:sz w:val="21"/>
                <w:szCs w:val="21"/>
                <w:lang w:val="en-GB"/>
              </w:rPr>
              <w:t>will be chosen following a</w:t>
            </w:r>
            <w:r w:rsidRPr="7B8E789D" w:rsidR="34839A29">
              <w:rPr>
                <w:i w:val="0"/>
                <w:iCs w:val="0"/>
                <w:sz w:val="21"/>
                <w:szCs w:val="21"/>
                <w:lang w:val="en-GB"/>
              </w:rPr>
              <w:t>n a</w:t>
            </w:r>
            <w:r w:rsidRPr="7B8E789D" w:rsidR="0E70AA44">
              <w:rPr>
                <w:i w:val="0"/>
                <w:iCs w:val="0"/>
                <w:sz w:val="21"/>
                <w:szCs w:val="21"/>
                <w:lang w:val="en-GB"/>
              </w:rPr>
              <w:t>ssessment</w:t>
            </w:r>
            <w:r w:rsidRPr="7B8E789D" w:rsidR="287D7C15">
              <w:rPr>
                <w:i w:val="0"/>
                <w:iCs w:val="0"/>
                <w:sz w:val="21"/>
                <w:szCs w:val="21"/>
                <w:lang w:val="en-GB"/>
              </w:rPr>
              <w:t xml:space="preserve"> and so will be relevant to the </w:t>
            </w:r>
            <w:r w:rsidRPr="7B8E789D" w:rsidR="7A3F9ACE">
              <w:rPr>
                <w:i w:val="0"/>
                <w:iCs w:val="0"/>
                <w:sz w:val="21"/>
                <w:szCs w:val="21"/>
                <w:lang w:val="en-GB"/>
              </w:rPr>
              <w:t>gaps in knowledge of the students in that class at that time.</w:t>
            </w:r>
          </w:p>
          <w:p w:rsidRPr="004F3C65" w:rsidR="00D57FF3" w:rsidP="004F3C65" w:rsidRDefault="00D57FF3" w14:paraId="27C56A2D" w14:textId="451AEAAD">
            <w:pPr>
              <w:jc w:val="both"/>
              <w:rPr>
                <w:b/>
                <w:sz w:val="21"/>
                <w:szCs w:val="21"/>
                <w:lang w:val="en-GB"/>
              </w:rPr>
            </w:pPr>
            <w:r w:rsidRPr="004F3C65">
              <w:rPr>
                <w:i/>
                <w:sz w:val="21"/>
                <w:szCs w:val="21"/>
                <w:lang w:val="en-GB"/>
              </w:rPr>
              <w:t xml:space="preserve"> </w:t>
            </w:r>
          </w:p>
        </w:tc>
      </w:tr>
      <w:tr w:rsidRPr="007B04C0" w:rsidR="00AA005C" w:rsidTr="7B8E789D" w14:paraId="6BD43A62" w14:textId="77777777">
        <w:tc>
          <w:tcPr>
            <w:tcW w:w="10632" w:type="dxa"/>
            <w:shd w:val="clear" w:color="auto" w:fill="E2EFD9" w:themeFill="accent6" w:themeFillTint="33"/>
            <w:tcMar/>
          </w:tcPr>
          <w:p w:rsidRPr="007B04C0" w:rsidR="00AA005C" w:rsidRDefault="003B1C40" w14:paraId="23E38E3B" w14:textId="7A3755DA">
            <w:pPr>
              <w:rPr>
                <w:b/>
                <w:sz w:val="21"/>
                <w:szCs w:val="21"/>
                <w:lang w:val="en-GB"/>
              </w:rPr>
            </w:pPr>
            <w:r w:rsidRPr="007B04C0">
              <w:rPr>
                <w:b/>
                <w:sz w:val="21"/>
                <w:szCs w:val="21"/>
                <w:lang w:val="en-GB"/>
              </w:rPr>
              <w:t>K</w:t>
            </w:r>
            <w:r w:rsidRPr="007B04C0" w:rsidR="00AA005C">
              <w:rPr>
                <w:b/>
                <w:sz w:val="21"/>
                <w:szCs w:val="21"/>
                <w:lang w:val="en-GB"/>
              </w:rPr>
              <w:t>ey concepts/ideas that are taught to students in this unit/topic</w:t>
            </w:r>
            <w:r w:rsidRPr="007B04C0" w:rsidR="007B1995">
              <w:rPr>
                <w:b/>
                <w:sz w:val="21"/>
                <w:szCs w:val="21"/>
                <w:lang w:val="en-GB"/>
              </w:rPr>
              <w:t xml:space="preserve">, including </w:t>
            </w:r>
            <w:r w:rsidRPr="007B04C0">
              <w:rPr>
                <w:b/>
                <w:sz w:val="21"/>
                <w:szCs w:val="21"/>
                <w:lang w:val="en-GB"/>
              </w:rPr>
              <w:t>a</w:t>
            </w:r>
            <w:r w:rsidRPr="007B04C0" w:rsidR="007B1995">
              <w:rPr>
                <w:b/>
                <w:sz w:val="21"/>
                <w:szCs w:val="21"/>
                <w:lang w:val="en-GB"/>
              </w:rPr>
              <w:t xml:space="preserve">ny </w:t>
            </w:r>
            <w:r w:rsidRPr="007B04C0" w:rsidR="00F56CCA">
              <w:rPr>
                <w:b/>
                <w:sz w:val="21"/>
                <w:szCs w:val="21"/>
                <w:lang w:val="en-GB"/>
              </w:rPr>
              <w:t xml:space="preserve">anticipated gaps in </w:t>
            </w:r>
            <w:r w:rsidRPr="007B04C0" w:rsidR="007B1995">
              <w:rPr>
                <w:b/>
                <w:sz w:val="21"/>
                <w:szCs w:val="21"/>
                <w:lang w:val="en-GB"/>
              </w:rPr>
              <w:t>knowledge</w:t>
            </w:r>
            <w:r w:rsidRPr="007B04C0" w:rsidR="00F56CCA">
              <w:rPr>
                <w:b/>
                <w:sz w:val="21"/>
                <w:szCs w:val="21"/>
                <w:lang w:val="en-GB"/>
              </w:rPr>
              <w:t xml:space="preserve"> </w:t>
            </w:r>
            <w:r w:rsidRPr="007B04C0">
              <w:rPr>
                <w:b/>
                <w:sz w:val="21"/>
                <w:szCs w:val="21"/>
                <w:lang w:val="en-GB"/>
              </w:rPr>
              <w:t xml:space="preserve">and </w:t>
            </w:r>
            <w:r w:rsidRPr="007B04C0" w:rsidR="007B1995">
              <w:rPr>
                <w:b/>
                <w:sz w:val="21"/>
                <w:szCs w:val="21"/>
                <w:lang w:val="en-GB"/>
              </w:rPr>
              <w:t>plan</w:t>
            </w:r>
            <w:r w:rsidRPr="007B04C0" w:rsidR="00F56CCA">
              <w:rPr>
                <w:b/>
                <w:sz w:val="21"/>
                <w:szCs w:val="21"/>
                <w:lang w:val="en-GB"/>
              </w:rPr>
              <w:t xml:space="preserve"> to overcome</w:t>
            </w:r>
            <w:r w:rsidRPr="007B04C0" w:rsidR="007B1995">
              <w:rPr>
                <w:b/>
                <w:sz w:val="21"/>
                <w:szCs w:val="21"/>
                <w:lang w:val="en-GB"/>
              </w:rPr>
              <w:t xml:space="preserve"> these</w:t>
            </w:r>
          </w:p>
        </w:tc>
      </w:tr>
      <w:tr w:rsidRPr="007B04C0" w:rsidR="008315F1" w:rsidTr="7B8E789D" w14:paraId="70E88F15" w14:textId="77777777">
        <w:tc>
          <w:tcPr>
            <w:tcW w:w="10632" w:type="dxa"/>
            <w:tcMar/>
          </w:tcPr>
          <w:p w:rsidR="004F3C65" w:rsidP="7B8E789D" w:rsidRDefault="004F3C65" w14:paraId="5144564C" w14:textId="33E039D5">
            <w:pPr>
              <w:jc w:val="both"/>
              <w:rPr>
                <w:b w:val="0"/>
                <w:bCs w:val="0"/>
                <w:sz w:val="20"/>
                <w:szCs w:val="20"/>
                <w:lang w:val="en-GB"/>
              </w:rPr>
            </w:pPr>
            <w:r w:rsidRPr="7B8E789D" w:rsidR="0CEF2BD9">
              <w:rPr>
                <w:b w:val="0"/>
                <w:bCs w:val="0"/>
                <w:sz w:val="20"/>
                <w:szCs w:val="20"/>
                <w:lang w:val="en-GB"/>
              </w:rPr>
              <w:t>This will largely depend on the results of the assessments</w:t>
            </w:r>
            <w:r w:rsidRPr="7B8E789D" w:rsidR="15FDBEC0">
              <w:rPr>
                <w:b w:val="0"/>
                <w:bCs w:val="0"/>
                <w:sz w:val="20"/>
                <w:szCs w:val="20"/>
                <w:lang w:val="en-GB"/>
              </w:rPr>
              <w:t xml:space="preserve"> that are carried out during this period, but there are points that will be consistently reflected upon:</w:t>
            </w:r>
          </w:p>
          <w:p w:rsidRPr="004F3C65" w:rsidR="004F3C65" w:rsidP="7B8E789D" w:rsidRDefault="004F3C65" w14:paraId="3647F624" w14:textId="1C41550F">
            <w:pPr>
              <w:pStyle w:val="ListParagraph"/>
              <w:numPr>
                <w:ilvl w:val="0"/>
                <w:numId w:val="18"/>
              </w:numPr>
              <w:jc w:val="both"/>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7B8E789D" w:rsidR="15FDBEC0">
              <w:rPr>
                <w:rFonts w:ascii="Corbel" w:hAnsi="Corbel" w:eastAsia="Corbel" w:cs="Corbel"/>
                <w:b w:val="0"/>
                <w:bCs w:val="0"/>
                <w:i w:val="0"/>
                <w:iCs w:val="0"/>
                <w:caps w:val="0"/>
                <w:smallCaps w:val="0"/>
                <w:noProof w:val="0"/>
                <w:color w:val="000000" w:themeColor="text1" w:themeTint="FF" w:themeShade="FF"/>
                <w:sz w:val="20"/>
                <w:szCs w:val="20"/>
                <w:lang w:val="en-GB"/>
              </w:rPr>
              <w:t>Students should be taught to apply their skills to open-ended and problem-solving situations to ensure they have fully mastered a skill. This applies to students at all levels, and for all topic areas.</w:t>
            </w:r>
          </w:p>
          <w:p w:rsidRPr="004F3C65" w:rsidR="004F3C65" w:rsidP="7B8E789D" w:rsidRDefault="004F3C65" w14:paraId="6784E8EC" w14:textId="037F9351">
            <w:pPr>
              <w:pStyle w:val="ListParagraph"/>
              <w:numPr>
                <w:ilvl w:val="0"/>
                <w:numId w:val="18"/>
              </w:numPr>
              <w:jc w:val="both"/>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7B8E789D" w:rsidR="15FDBEC0">
              <w:rPr>
                <w:rFonts w:ascii="Corbel" w:hAnsi="Corbel" w:eastAsia="Corbel" w:cs="Corbel"/>
                <w:b w:val="0"/>
                <w:bCs w:val="0"/>
                <w:i w:val="0"/>
                <w:iCs w:val="0"/>
                <w:caps w:val="0"/>
                <w:smallCaps w:val="0"/>
                <w:noProof w:val="0"/>
                <w:color w:val="000000" w:themeColor="text1" w:themeTint="FF" w:themeShade="FF"/>
                <w:sz w:val="20"/>
                <w:szCs w:val="20"/>
                <w:lang w:val="en-GB"/>
              </w:rPr>
              <w:t>Students also need to be able to use their calculators effectively – it is widely acknowledged that students do not fully appreciate the functions that calculators have and how to use these efficiently. Students will be encouraged to use non-calculator and calculator methods at all parts of their learning to ensure they are confident in their use of calculators.</w:t>
            </w:r>
          </w:p>
        </w:tc>
      </w:tr>
      <w:tr w:rsidRPr="007B04C0" w:rsidR="00AA005C" w:rsidTr="7B8E789D" w14:paraId="5B2CDDBC" w14:textId="77777777">
        <w:tc>
          <w:tcPr>
            <w:tcW w:w="10632" w:type="dxa"/>
            <w:shd w:val="clear" w:color="auto" w:fill="E2EFD9" w:themeFill="accent6" w:themeFillTint="33"/>
            <w:tcMar/>
          </w:tcPr>
          <w:p w:rsidRPr="007B04C0" w:rsidR="00AA005C" w:rsidRDefault="003B1C40" w14:paraId="24C6014E" w14:textId="31085703">
            <w:pPr>
              <w:rPr>
                <w:b/>
                <w:sz w:val="21"/>
                <w:szCs w:val="21"/>
                <w:lang w:val="en-GB"/>
              </w:rPr>
            </w:pPr>
            <w:r w:rsidRPr="007B04C0">
              <w:rPr>
                <w:b/>
                <w:sz w:val="21"/>
                <w:szCs w:val="21"/>
                <w:lang w:val="en-GB"/>
              </w:rPr>
              <w:t>New</w:t>
            </w:r>
            <w:r w:rsidRPr="007B04C0" w:rsidR="004124B4">
              <w:rPr>
                <w:b/>
                <w:sz w:val="21"/>
                <w:szCs w:val="21"/>
                <w:lang w:val="en-GB"/>
              </w:rPr>
              <w:t xml:space="preserve"> </w:t>
            </w:r>
            <w:r w:rsidRPr="007B04C0" w:rsidR="00AA005C">
              <w:rPr>
                <w:b/>
                <w:sz w:val="21"/>
                <w:szCs w:val="21"/>
                <w:lang w:val="en-GB"/>
              </w:rPr>
              <w:t xml:space="preserve">key terminology </w:t>
            </w:r>
            <w:r w:rsidRPr="007B04C0">
              <w:rPr>
                <w:b/>
                <w:sz w:val="21"/>
                <w:szCs w:val="21"/>
                <w:lang w:val="en-GB"/>
              </w:rPr>
              <w:t>s</w:t>
            </w:r>
            <w:r w:rsidRPr="007B04C0" w:rsidR="00AA005C">
              <w:rPr>
                <w:b/>
                <w:sz w:val="21"/>
                <w:szCs w:val="21"/>
                <w:lang w:val="en-GB"/>
              </w:rPr>
              <w:t xml:space="preserve">tudents </w:t>
            </w:r>
            <w:r w:rsidRPr="007B04C0">
              <w:rPr>
                <w:b/>
                <w:sz w:val="21"/>
                <w:szCs w:val="21"/>
                <w:lang w:val="en-GB"/>
              </w:rPr>
              <w:t xml:space="preserve">will be </w:t>
            </w:r>
            <w:r w:rsidRPr="007B04C0" w:rsidR="00AA005C">
              <w:rPr>
                <w:b/>
                <w:sz w:val="21"/>
                <w:szCs w:val="21"/>
                <w:lang w:val="en-GB"/>
              </w:rPr>
              <w:t>taught during this topic/unit</w:t>
            </w:r>
          </w:p>
        </w:tc>
      </w:tr>
      <w:tr w:rsidRPr="007B04C0" w:rsidR="008315F1" w:rsidTr="7B8E789D" w14:paraId="09BEEACA" w14:textId="77777777">
        <w:trPr>
          <w:trHeight w:val="640"/>
        </w:trPr>
        <w:tc>
          <w:tcPr>
            <w:tcW w:w="10632" w:type="dxa"/>
            <w:tcMar/>
          </w:tcPr>
          <w:p w:rsidRPr="004F3C65" w:rsidR="00F95822" w:rsidP="7B8E789D" w:rsidRDefault="00F95822" w14:paraId="7134982D" w14:textId="1C53639A">
            <w:pPr>
              <w:rPr>
                <w:b w:val="0"/>
                <w:bCs w:val="0"/>
                <w:sz w:val="21"/>
                <w:szCs w:val="21"/>
                <w:lang w:val="en-GB"/>
              </w:rPr>
            </w:pPr>
            <w:r w:rsidRPr="7B8E789D" w:rsidR="4A89F12B">
              <w:rPr>
                <w:b w:val="0"/>
                <w:bCs w:val="0"/>
                <w:sz w:val="21"/>
                <w:szCs w:val="21"/>
                <w:lang w:val="en-GB"/>
              </w:rPr>
              <w:t>There is no new terminology in the remaining higher topics, other than “Sine Rule” and “Cosine Rule”</w:t>
            </w:r>
            <w:r w:rsidRPr="7B8E789D" w:rsidR="50F0878F">
              <w:rPr>
                <w:b w:val="0"/>
                <w:bCs w:val="0"/>
                <w:sz w:val="21"/>
                <w:szCs w:val="21"/>
                <w:lang w:val="en-GB"/>
              </w:rPr>
              <w:t xml:space="preserve">. Again, any </w:t>
            </w:r>
            <w:r w:rsidRPr="7B8E789D" w:rsidR="3F3B77C6">
              <w:rPr>
                <w:b w:val="0"/>
                <w:bCs w:val="0"/>
                <w:sz w:val="21"/>
                <w:szCs w:val="21"/>
                <w:lang w:val="en-GB"/>
              </w:rPr>
              <w:t>gaps in understanding of key terminology from previous topic areas will be picked up on and reviewed through the regular assessments taking place.</w:t>
            </w:r>
          </w:p>
        </w:tc>
      </w:tr>
      <w:tr w:rsidRPr="007B04C0" w:rsidR="00717220" w:rsidTr="7B8E789D" w14:paraId="0BD4097E" w14:textId="77777777">
        <w:tc>
          <w:tcPr>
            <w:tcW w:w="10632" w:type="dxa"/>
            <w:shd w:val="clear" w:color="auto" w:fill="E2EFD9" w:themeFill="accent6" w:themeFillTint="33"/>
            <w:tcMar/>
          </w:tcPr>
          <w:p w:rsidRPr="007B04C0" w:rsidR="00717220" w:rsidRDefault="003B1C40" w14:paraId="7C420558" w14:textId="71D83BBA">
            <w:pPr>
              <w:rPr>
                <w:b/>
                <w:sz w:val="21"/>
                <w:szCs w:val="21"/>
                <w:lang w:val="en-GB"/>
              </w:rPr>
            </w:pPr>
            <w:r w:rsidRPr="007B04C0">
              <w:rPr>
                <w:b/>
                <w:sz w:val="21"/>
                <w:szCs w:val="21"/>
                <w:lang w:val="en-GB"/>
              </w:rPr>
              <w:t xml:space="preserve">Plan for Assessment </w:t>
            </w:r>
          </w:p>
        </w:tc>
      </w:tr>
      <w:tr w:rsidRPr="007B04C0" w:rsidR="00717220" w:rsidTr="7B8E789D" w14:paraId="56B7F9FC" w14:textId="77777777">
        <w:tc>
          <w:tcPr>
            <w:tcW w:w="10632" w:type="dxa"/>
            <w:tcMar/>
          </w:tcPr>
          <w:p w:rsidR="0A29579E" w:rsidP="7B8E789D" w:rsidRDefault="0A29579E" w14:paraId="60F7010B" w14:textId="3D4BAB90">
            <w:pPr>
              <w:pStyle w:val="ListParagraph"/>
              <w:numPr>
                <w:ilvl w:val="0"/>
                <w:numId w:val="19"/>
              </w:numPr>
              <w:jc w:val="both"/>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7B8E789D" w:rsidR="0A29579E">
              <w:rPr>
                <w:rFonts w:ascii="Corbel" w:hAnsi="Corbel" w:eastAsia="Corbel" w:cs="Corbel"/>
                <w:b w:val="0"/>
                <w:bCs w:val="0"/>
                <w:i w:val="0"/>
                <w:iCs w:val="0"/>
                <w:caps w:val="0"/>
                <w:smallCaps w:val="0"/>
                <w:noProof w:val="0"/>
                <w:color w:val="000000" w:themeColor="text1" w:themeTint="FF" w:themeShade="FF"/>
                <w:sz w:val="20"/>
                <w:szCs w:val="20"/>
                <w:lang w:val="en-GB"/>
              </w:rPr>
              <w:t>Informal assessment is ongoing through class work, contributions to class discussion, teacher assessment during lessons. </w:t>
            </w:r>
          </w:p>
          <w:p w:rsidR="0A29579E" w:rsidP="7B8E789D" w:rsidRDefault="0A29579E" w14:paraId="38177B6C" w14:textId="5CE900F1">
            <w:pPr>
              <w:pStyle w:val="ListParagraph"/>
              <w:numPr>
                <w:ilvl w:val="0"/>
                <w:numId w:val="19"/>
              </w:numPr>
              <w:jc w:val="both"/>
              <w:rPr>
                <w:rFonts w:ascii="Corbel" w:hAnsi="Corbel" w:eastAsia="Corbel" w:cs="Corbel" w:asciiTheme="minorAscii" w:hAnsiTheme="minorAscii" w:eastAsiaTheme="minorAscii" w:cstheme="minorAscii"/>
                <w:b w:val="0"/>
                <w:bCs w:val="0"/>
                <w:i w:val="0"/>
                <w:iCs w:val="0"/>
                <w:caps w:val="0"/>
                <w:smallCaps w:val="0"/>
                <w:noProof w:val="0"/>
                <w:color w:val="000000" w:themeColor="text1" w:themeTint="FF" w:themeShade="FF"/>
                <w:sz w:val="20"/>
                <w:szCs w:val="20"/>
                <w:lang w:val="en-GB"/>
              </w:rPr>
            </w:pPr>
            <w:r w:rsidRPr="7B8E789D" w:rsidR="0A29579E">
              <w:rPr>
                <w:rFonts w:ascii="Corbel" w:hAnsi="Corbel" w:eastAsia="Corbel" w:cs="Corbel"/>
                <w:b w:val="0"/>
                <w:bCs w:val="0"/>
                <w:i w:val="0"/>
                <w:iCs w:val="0"/>
                <w:caps w:val="0"/>
                <w:smallCaps w:val="0"/>
                <w:noProof w:val="0"/>
                <w:color w:val="000000" w:themeColor="text1" w:themeTint="FF" w:themeShade="FF"/>
                <w:sz w:val="20"/>
                <w:szCs w:val="20"/>
                <w:lang w:val="en-GB"/>
              </w:rPr>
              <w:t xml:space="preserve">Teachers record homework marks each week on a centrally held department tracker; the homework tasks are detailed on the schemes of work and outlined centrally within the department to ensure consistency across all classes. Teachers will take in and formally mark a written piece of homework once every two weeks. Students will then have time during a subsequent lesson to review their work and make any corrections. </w:t>
            </w:r>
          </w:p>
          <w:p w:rsidR="0A29579E" w:rsidP="7B8E789D" w:rsidRDefault="0A29579E" w14:paraId="6F4EF2A6" w14:textId="2B30BDD2">
            <w:pPr>
              <w:pStyle w:val="ListParagraph"/>
              <w:numPr>
                <w:ilvl w:val="0"/>
                <w:numId w:val="19"/>
              </w:numPr>
              <w:jc w:val="both"/>
              <w:rPr>
                <w:b w:val="0"/>
                <w:bCs w:val="0"/>
                <w:i w:val="0"/>
                <w:iCs w:val="0"/>
                <w:caps w:val="0"/>
                <w:smallCaps w:val="0"/>
                <w:noProof w:val="0"/>
                <w:color w:val="000000" w:themeColor="text1" w:themeTint="FF" w:themeShade="FF"/>
                <w:sz w:val="20"/>
                <w:szCs w:val="20"/>
                <w:lang w:val="en-GB"/>
              </w:rPr>
            </w:pPr>
            <w:r w:rsidRPr="7B8E789D" w:rsidR="0A29579E">
              <w:rPr>
                <w:rFonts w:ascii="Corbel" w:hAnsi="Corbel" w:eastAsia="Corbel" w:cs="Corbel"/>
                <w:b w:val="0"/>
                <w:bCs w:val="0"/>
                <w:i w:val="0"/>
                <w:iCs w:val="0"/>
                <w:caps w:val="0"/>
                <w:smallCaps w:val="0"/>
                <w:noProof w:val="0"/>
                <w:color w:val="000000" w:themeColor="text1" w:themeTint="FF" w:themeShade="FF"/>
                <w:sz w:val="20"/>
                <w:szCs w:val="20"/>
                <w:lang w:val="en-GB"/>
              </w:rPr>
              <w:t>Formal assessment will take place on a fortnightly basis during this period. This will allow teachers and students to reflect on areas of strength and areas of weakness</w:t>
            </w:r>
            <w:r w:rsidRPr="7B8E789D" w:rsidR="753E1DC9">
              <w:rPr>
                <w:rFonts w:ascii="Corbel" w:hAnsi="Corbel" w:eastAsia="Corbel" w:cs="Corbel"/>
                <w:b w:val="0"/>
                <w:bCs w:val="0"/>
                <w:i w:val="0"/>
                <w:iCs w:val="0"/>
                <w:caps w:val="0"/>
                <w:smallCaps w:val="0"/>
                <w:noProof w:val="0"/>
                <w:color w:val="000000" w:themeColor="text1" w:themeTint="FF" w:themeShade="FF"/>
                <w:sz w:val="20"/>
                <w:szCs w:val="20"/>
                <w:lang w:val="en-GB"/>
              </w:rPr>
              <w:t xml:space="preserve">; providing </w:t>
            </w:r>
            <w:r w:rsidRPr="7B8E789D" w:rsidR="753E1DC9">
              <w:rPr>
                <w:rFonts w:ascii="Corbel" w:hAnsi="Corbel" w:eastAsia="Corbel" w:cs="Corbel"/>
                <w:b w:val="0"/>
                <w:bCs w:val="0"/>
                <w:i w:val="0"/>
                <w:iCs w:val="0"/>
                <w:caps w:val="0"/>
                <w:smallCaps w:val="0"/>
                <w:noProof w:val="0"/>
                <w:color w:val="000000" w:themeColor="text1" w:themeTint="FF" w:themeShade="FF"/>
                <w:sz w:val="20"/>
                <w:szCs w:val="20"/>
                <w:lang w:val="en-GB"/>
              </w:rPr>
              <w:t>students</w:t>
            </w:r>
            <w:r w:rsidRPr="7B8E789D" w:rsidR="753E1DC9">
              <w:rPr>
                <w:rFonts w:ascii="Corbel" w:hAnsi="Corbel" w:eastAsia="Corbel" w:cs="Corbel"/>
                <w:b w:val="0"/>
                <w:bCs w:val="0"/>
                <w:i w:val="0"/>
                <w:iCs w:val="0"/>
                <w:caps w:val="0"/>
                <w:smallCaps w:val="0"/>
                <w:noProof w:val="0"/>
                <w:color w:val="000000" w:themeColor="text1" w:themeTint="FF" w:themeShade="FF"/>
                <w:sz w:val="20"/>
                <w:szCs w:val="20"/>
                <w:lang w:val="en-GB"/>
              </w:rPr>
              <w:t xml:space="preserve"> with a focus for their individual revision, and teachers with the ability to plan </w:t>
            </w:r>
            <w:r w:rsidRPr="7B8E789D" w:rsidR="753E1DC9">
              <w:rPr>
                <w:rFonts w:ascii="Corbel" w:hAnsi="Corbel" w:eastAsia="Corbel" w:cs="Corbel"/>
                <w:b w:val="0"/>
                <w:bCs w:val="0"/>
                <w:i w:val="0"/>
                <w:iCs w:val="0"/>
                <w:caps w:val="0"/>
                <w:smallCaps w:val="0"/>
                <w:noProof w:val="0"/>
                <w:color w:val="000000" w:themeColor="text1" w:themeTint="FF" w:themeShade="FF"/>
                <w:sz w:val="20"/>
                <w:szCs w:val="20"/>
                <w:lang w:val="en-GB"/>
              </w:rPr>
              <w:t>effectively</w:t>
            </w:r>
            <w:r w:rsidRPr="7B8E789D" w:rsidR="753E1DC9">
              <w:rPr>
                <w:rFonts w:ascii="Corbel" w:hAnsi="Corbel" w:eastAsia="Corbel" w:cs="Corbel"/>
                <w:b w:val="0"/>
                <w:bCs w:val="0"/>
                <w:i w:val="0"/>
                <w:iCs w:val="0"/>
                <w:caps w:val="0"/>
                <w:smallCaps w:val="0"/>
                <w:noProof w:val="0"/>
                <w:color w:val="000000" w:themeColor="text1" w:themeTint="FF" w:themeShade="FF"/>
                <w:sz w:val="20"/>
                <w:szCs w:val="20"/>
                <w:lang w:val="en-GB"/>
              </w:rPr>
              <w:t xml:space="preserve"> for lessons over the subsequent two weeks.</w:t>
            </w:r>
          </w:p>
          <w:p w:rsidRPr="004F3C65" w:rsidR="004F3C65" w:rsidP="004F3C65" w:rsidRDefault="004F3C65" w14:paraId="04233BC0" w14:textId="34AFED65">
            <w:pPr>
              <w:jc w:val="both"/>
              <w:rPr>
                <w:b/>
                <w:sz w:val="21"/>
                <w:szCs w:val="21"/>
                <w:lang w:val="en-GB"/>
              </w:rPr>
            </w:pPr>
          </w:p>
        </w:tc>
      </w:tr>
    </w:tbl>
    <w:p w:rsidRPr="007B04C0" w:rsidR="00F95822" w:rsidRDefault="00F95822" w14:paraId="1CE33F4D" w14:textId="0A74C09C">
      <w:pPr>
        <w:rPr>
          <w:sz w:val="21"/>
          <w:szCs w:val="21"/>
          <w:lang w:val="en-GB"/>
        </w:rPr>
      </w:pPr>
    </w:p>
    <w:p w:rsidRPr="007B04C0" w:rsidR="007B1995" w:rsidRDefault="007B1995" w14:paraId="3C0DD892" w14:textId="7A3A1FD8">
      <w:pPr>
        <w:rPr>
          <w:sz w:val="21"/>
          <w:szCs w:val="21"/>
          <w:lang w:val="en-GB"/>
        </w:rPr>
      </w:pPr>
    </w:p>
    <w:p w:rsidRPr="007B1995" w:rsidR="007B1995" w:rsidRDefault="007B1995" w14:paraId="22E49443" w14:textId="36188C4E">
      <w:pPr>
        <w:rPr>
          <w:sz w:val="20"/>
          <w:szCs w:val="20"/>
          <w:lang w:val="en-GB"/>
        </w:rPr>
      </w:pPr>
    </w:p>
    <w:p w:rsidRPr="00312C50" w:rsidR="00312C50" w:rsidRDefault="00312C50" w14:paraId="6542BD36" w14:textId="56608F34">
      <w:pPr>
        <w:rPr>
          <w:lang w:val="en-GB"/>
        </w:rPr>
      </w:pPr>
      <w:bookmarkStart w:name="_GoBack" w:id="0"/>
      <w:bookmarkEnd w:id="0"/>
    </w:p>
    <w:sectPr w:rsidRPr="00312C50" w:rsidR="00312C50" w:rsidSect="007B1995">
      <w:pgSz w:w="11900" w:h="16840" w:orient="portrait"/>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6A6426E"/>
    <w:multiLevelType w:val="hybridMultilevel"/>
    <w:tmpl w:val="683E782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DCB27F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1E223123"/>
    <w:multiLevelType w:val="hybridMultilevel"/>
    <w:tmpl w:val="9A30C250"/>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2D60343"/>
    <w:multiLevelType w:val="hybridMultilevel"/>
    <w:tmpl w:val="9DCAD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5326C71"/>
    <w:multiLevelType w:val="hybridMultilevel"/>
    <w:tmpl w:val="D292D4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37377640"/>
    <w:multiLevelType w:val="hybridMultilevel"/>
    <w:tmpl w:val="ADEE29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BF26A65"/>
    <w:multiLevelType w:val="hybridMultilevel"/>
    <w:tmpl w:val="FF482538"/>
    <w:lvl w:ilvl="0" w:tplc="04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C07092F"/>
    <w:multiLevelType w:val="hybridMultilevel"/>
    <w:tmpl w:val="023ADE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657D8F"/>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0" w15:restartNumberingAfterBreak="0">
    <w:nsid w:val="57A34983"/>
    <w:multiLevelType w:val="hybridMultilevel"/>
    <w:tmpl w:val="EAD454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797B44"/>
    <w:multiLevelType w:val="hybridMultilevel"/>
    <w:tmpl w:val="723E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E0000D2"/>
    <w:multiLevelType w:val="multilevel"/>
    <w:tmpl w:val="908491EA"/>
    <w:lvl w:ilvl="0">
      <w:start w:val="1"/>
      <w:numFmt w:val="bullet"/>
      <w:lvlText w:val=""/>
      <w:lvlJc w:val="left"/>
      <w:pPr>
        <w:ind w:left="360" w:hanging="360"/>
      </w:pPr>
      <w:rPr>
        <w:rFonts w:hint="default" w:ascii="Wingdings" w:hAnsi="Wingdings"/>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3" w15:restartNumberingAfterBreak="0">
    <w:nsid w:val="63642E07"/>
    <w:multiLevelType w:val="multilevel"/>
    <w:tmpl w:val="0532AB5A"/>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4" w15:restartNumberingAfterBreak="0">
    <w:nsid w:val="6E2A09A2"/>
    <w:multiLevelType w:val="multilevel"/>
    <w:tmpl w:val="8DA6A942"/>
    <w:lvl w:ilvl="0">
      <w:start w:val="1"/>
      <w:numFmt w:val="bullet"/>
      <w:lvlText w:val=""/>
      <w:lvlJc w:val="left"/>
      <w:pPr>
        <w:ind w:left="720" w:hanging="360"/>
      </w:pPr>
      <w:rPr>
        <w:rFonts w:hint="default" w:ascii="Symbol" w:hAnsi="Symbol"/>
      </w:rPr>
    </w:lvl>
    <w:lvl w:ilvl="1">
      <w:start w:val="1"/>
      <w:numFmt w:val="bullet"/>
      <w:lvlText w:val=""/>
      <w:lvlJc w:val="left"/>
      <w:pPr>
        <w:ind w:left="720" w:hanging="360"/>
      </w:pPr>
      <w:rPr>
        <w:rFonts w:hint="default" w:ascii="Wingdings" w:hAnsi="Wingdings"/>
      </w:rPr>
    </w:lvl>
    <w:lvl w:ilvl="2">
      <w:start w:val="1"/>
      <w:numFmt w:val="bullet"/>
      <w:lvlText w:val="o"/>
      <w:lvlJc w:val="left"/>
      <w:pPr>
        <w:ind w:left="1080" w:hanging="360"/>
      </w:pPr>
      <w:rPr>
        <w:rFonts w:hint="default" w:ascii="Courier New" w:hAnsi="Courier New" w:cs="Courier New"/>
      </w:rPr>
    </w:lvl>
    <w:lvl w:ilvl="3">
      <w:start w:val="1"/>
      <w:numFmt w:val="bullet"/>
      <w:lvlText w:val=""/>
      <w:lvlJc w:val="left"/>
      <w:pPr>
        <w:ind w:left="1440" w:hanging="360"/>
      </w:pPr>
      <w:rPr>
        <w:rFonts w:hint="default" w:ascii="Symbol" w:hAnsi="Symbol"/>
      </w:rPr>
    </w:lvl>
    <w:lvl w:ilvl="4">
      <w:start w:val="1"/>
      <w:numFmt w:val="bullet"/>
      <w:lvlText w:val="o"/>
      <w:lvlJc w:val="left"/>
      <w:pPr>
        <w:ind w:left="1800" w:hanging="360"/>
      </w:pPr>
      <w:rPr>
        <w:rFonts w:hint="default" w:ascii="Courier New" w:hAnsi="Courier New" w:cs="Courier New"/>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15" w15:restartNumberingAfterBreak="0">
    <w:nsid w:val="7097104E"/>
    <w:multiLevelType w:val="hybridMultilevel"/>
    <w:tmpl w:val="66A2F1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9">
    <w:abstractNumId w:val="18"/>
  </w:num>
  <w:num w:numId="18">
    <w:abstractNumId w:val="17"/>
  </w:num>
  <w:num w:numId="17">
    <w:abstractNumId w:val="16"/>
  </w:num>
  <w:num w:numId="1">
    <w:abstractNumId w:val="1"/>
  </w:num>
  <w:num w:numId="2">
    <w:abstractNumId w:val="4"/>
  </w:num>
  <w:num w:numId="3">
    <w:abstractNumId w:val="12"/>
  </w:num>
  <w:num w:numId="4">
    <w:abstractNumId w:val="14"/>
  </w:num>
  <w:num w:numId="5">
    <w:abstractNumId w:val="2"/>
  </w:num>
  <w:num w:numId="6">
    <w:abstractNumId w:val="13"/>
  </w:num>
  <w:num w:numId="7">
    <w:abstractNumId w:val="9"/>
  </w:num>
  <w:num w:numId="8">
    <w:abstractNumId w:val="11"/>
  </w:num>
  <w:num w:numId="9">
    <w:abstractNumId w:val="15"/>
  </w:num>
  <w:num w:numId="10">
    <w:abstractNumId w:val="0"/>
  </w:num>
  <w:num w:numId="11">
    <w:abstractNumId w:val="10"/>
  </w:num>
  <w:num w:numId="12">
    <w:abstractNumId w:val="5"/>
  </w:num>
  <w:num w:numId="13">
    <w:abstractNumId w:val="8"/>
  </w:num>
  <w:num w:numId="14">
    <w:abstractNumId w:val="6"/>
  </w:num>
  <w:num w:numId="15">
    <w:abstractNumId w:val="7"/>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6FEB"/>
    <w:rsid w:val="001A2BA4"/>
    <w:rsid w:val="001C5F99"/>
    <w:rsid w:val="00226561"/>
    <w:rsid w:val="00255136"/>
    <w:rsid w:val="002E3DD3"/>
    <w:rsid w:val="00312C50"/>
    <w:rsid w:val="00341A93"/>
    <w:rsid w:val="003465A2"/>
    <w:rsid w:val="00373102"/>
    <w:rsid w:val="003B1C40"/>
    <w:rsid w:val="00401BEE"/>
    <w:rsid w:val="004124B4"/>
    <w:rsid w:val="004643CB"/>
    <w:rsid w:val="004F3865"/>
    <w:rsid w:val="004F3C65"/>
    <w:rsid w:val="0054237E"/>
    <w:rsid w:val="005F5BFF"/>
    <w:rsid w:val="006133FF"/>
    <w:rsid w:val="00664176"/>
    <w:rsid w:val="006B6F74"/>
    <w:rsid w:val="006B7BD1"/>
    <w:rsid w:val="006E589C"/>
    <w:rsid w:val="006E5B6C"/>
    <w:rsid w:val="00717220"/>
    <w:rsid w:val="00792234"/>
    <w:rsid w:val="007B04C0"/>
    <w:rsid w:val="007B1995"/>
    <w:rsid w:val="00822276"/>
    <w:rsid w:val="008271C9"/>
    <w:rsid w:val="008315F1"/>
    <w:rsid w:val="008F472A"/>
    <w:rsid w:val="009218EA"/>
    <w:rsid w:val="00970470"/>
    <w:rsid w:val="009F4EE7"/>
    <w:rsid w:val="00AA005C"/>
    <w:rsid w:val="00AB16D0"/>
    <w:rsid w:val="00AC1394"/>
    <w:rsid w:val="00B16942"/>
    <w:rsid w:val="00B45D97"/>
    <w:rsid w:val="00BA2324"/>
    <w:rsid w:val="00C72A78"/>
    <w:rsid w:val="00CF578F"/>
    <w:rsid w:val="00D06802"/>
    <w:rsid w:val="00D239EE"/>
    <w:rsid w:val="00D41C18"/>
    <w:rsid w:val="00D57FF3"/>
    <w:rsid w:val="00DF5028"/>
    <w:rsid w:val="00F30C8B"/>
    <w:rsid w:val="00F564A7"/>
    <w:rsid w:val="00F56CCA"/>
    <w:rsid w:val="00F62155"/>
    <w:rsid w:val="00F95822"/>
    <w:rsid w:val="00FC1E1B"/>
    <w:rsid w:val="00FD1AA6"/>
    <w:rsid w:val="017FB4DE"/>
    <w:rsid w:val="01C151CE"/>
    <w:rsid w:val="03002F6E"/>
    <w:rsid w:val="0392ACB9"/>
    <w:rsid w:val="03CB8033"/>
    <w:rsid w:val="04401FE8"/>
    <w:rsid w:val="046455A0"/>
    <w:rsid w:val="04EBC1E9"/>
    <w:rsid w:val="0744BDE5"/>
    <w:rsid w:val="079CB78D"/>
    <w:rsid w:val="0A29579E"/>
    <w:rsid w:val="0A7C5EA7"/>
    <w:rsid w:val="0CEF2BD9"/>
    <w:rsid w:val="0D040475"/>
    <w:rsid w:val="0E70AA44"/>
    <w:rsid w:val="14028BB4"/>
    <w:rsid w:val="15FDBEC0"/>
    <w:rsid w:val="16FC5DBC"/>
    <w:rsid w:val="1A3399D7"/>
    <w:rsid w:val="1B864564"/>
    <w:rsid w:val="1C152A75"/>
    <w:rsid w:val="20B8DC8A"/>
    <w:rsid w:val="20FE8FF4"/>
    <w:rsid w:val="21F72517"/>
    <w:rsid w:val="2476DE5A"/>
    <w:rsid w:val="26C8F80B"/>
    <w:rsid w:val="287D7C15"/>
    <w:rsid w:val="2B287B84"/>
    <w:rsid w:val="2B3D8094"/>
    <w:rsid w:val="2DA1445B"/>
    <w:rsid w:val="305E9F7A"/>
    <w:rsid w:val="3136A7F5"/>
    <w:rsid w:val="3197BD08"/>
    <w:rsid w:val="3472CB4F"/>
    <w:rsid w:val="34839A29"/>
    <w:rsid w:val="35051220"/>
    <w:rsid w:val="365C5134"/>
    <w:rsid w:val="37A08E0E"/>
    <w:rsid w:val="38124F96"/>
    <w:rsid w:val="3D23FA25"/>
    <w:rsid w:val="3F3B77C6"/>
    <w:rsid w:val="3F908C70"/>
    <w:rsid w:val="4074C344"/>
    <w:rsid w:val="41B34DB9"/>
    <w:rsid w:val="434D7B6C"/>
    <w:rsid w:val="44E94BCD"/>
    <w:rsid w:val="4556B348"/>
    <w:rsid w:val="45D3830B"/>
    <w:rsid w:val="467A077A"/>
    <w:rsid w:val="4795B1FB"/>
    <w:rsid w:val="494B9B7D"/>
    <w:rsid w:val="49B1A83C"/>
    <w:rsid w:val="4A89F12B"/>
    <w:rsid w:val="50F0878F"/>
    <w:rsid w:val="525A2E64"/>
    <w:rsid w:val="5833E92B"/>
    <w:rsid w:val="594BE739"/>
    <w:rsid w:val="59D79B7F"/>
    <w:rsid w:val="5AAD7B50"/>
    <w:rsid w:val="5AADDFF7"/>
    <w:rsid w:val="5C4D6EFE"/>
    <w:rsid w:val="5CA8344B"/>
    <w:rsid w:val="5F374FE1"/>
    <w:rsid w:val="5FFBF6BD"/>
    <w:rsid w:val="61569477"/>
    <w:rsid w:val="61627D11"/>
    <w:rsid w:val="61DACB71"/>
    <w:rsid w:val="6206F412"/>
    <w:rsid w:val="63A2C473"/>
    <w:rsid w:val="65F4A211"/>
    <w:rsid w:val="696D8EF6"/>
    <w:rsid w:val="6975EBBB"/>
    <w:rsid w:val="6BE6A4F1"/>
    <w:rsid w:val="6DE2177F"/>
    <w:rsid w:val="6E1DC11D"/>
    <w:rsid w:val="6FFC50B5"/>
    <w:rsid w:val="70320621"/>
    <w:rsid w:val="7075CE20"/>
    <w:rsid w:val="749DC2B6"/>
    <w:rsid w:val="753E1DC9"/>
    <w:rsid w:val="76032A93"/>
    <w:rsid w:val="787CBCB8"/>
    <w:rsid w:val="78FA14C2"/>
    <w:rsid w:val="7A3F9ACE"/>
    <w:rsid w:val="7B8E789D"/>
    <w:rsid w:val="7C64BD15"/>
    <w:rsid w:val="7D24D3E7"/>
    <w:rsid w:val="7ED9D59E"/>
    <w:rsid w:val="7EE14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A005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72E821-020A-4E8F-9EB7-FE4DA9198130}"/>
</file>

<file path=customXml/itemProps2.xml><?xml version="1.0" encoding="utf-8"?>
<ds:datastoreItem xmlns:ds="http://schemas.openxmlformats.org/officeDocument/2006/customXml" ds:itemID="{241F7EF6-E32B-4A07-B381-FEF25794AB09}"/>
</file>

<file path=customXml/itemProps3.xml><?xml version="1.0" encoding="utf-8"?>
<ds:datastoreItem xmlns:ds="http://schemas.openxmlformats.org/officeDocument/2006/customXml" ds:itemID="{976C3265-85D6-418D-B833-EC98A4A71F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Mary's Catholic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Crosbie, Anna</cp:lastModifiedBy>
  <cp:revision>3</cp:revision>
  <cp:lastPrinted>2019-11-03T11:53:00Z</cp:lastPrinted>
  <dcterms:created xsi:type="dcterms:W3CDTF">2019-11-11T13:34:00Z</dcterms:created>
  <dcterms:modified xsi:type="dcterms:W3CDTF">2021-10-27T19:29:32Z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