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0F43E" w14:textId="50172823" w:rsidR="00341A93" w:rsidRPr="00450594" w:rsidRDefault="009218EA">
      <w:pPr>
        <w:rPr>
          <w:b/>
          <w:lang w:val="en-GB"/>
        </w:rPr>
      </w:pPr>
      <w:r w:rsidRPr="00450594">
        <w:rPr>
          <w:b/>
          <w:noProof/>
          <w:lang w:val="en-GB" w:eastAsia="en-GB"/>
        </w:rPr>
        <w:drawing>
          <wp:anchor distT="0" distB="0" distL="114300" distR="114300" simplePos="0" relativeHeight="251659264" behindDoc="1" locked="0" layoutInCell="1" allowOverlap="1" wp14:anchorId="236BB9A8" wp14:editId="57F286A9">
            <wp:simplePos x="0" y="0"/>
            <wp:positionH relativeFrom="leftMargin">
              <wp:posOffset>362585</wp:posOffset>
            </wp:positionH>
            <wp:positionV relativeFrom="paragraph">
              <wp:posOffset>484</wp:posOffset>
            </wp:positionV>
            <wp:extent cx="523875" cy="626745"/>
            <wp:effectExtent l="0" t="0" r="9525" b="1905"/>
            <wp:wrapTight wrapText="bothSides">
              <wp:wrapPolygon edited="0">
                <wp:start x="0" y="0"/>
                <wp:lineTo x="0" y="14444"/>
                <wp:lineTo x="7855" y="21009"/>
                <wp:lineTo x="13353" y="21009"/>
                <wp:lineTo x="21207" y="14444"/>
                <wp:lineTo x="2120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Marys-Badge-Transparen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3875" cy="626745"/>
                    </a:xfrm>
                    <a:prstGeom prst="rect">
                      <a:avLst/>
                    </a:prstGeom>
                  </pic:spPr>
                </pic:pic>
              </a:graphicData>
            </a:graphic>
            <wp14:sizeRelH relativeFrom="page">
              <wp14:pctWidth>0</wp14:pctWidth>
            </wp14:sizeRelH>
            <wp14:sizeRelV relativeFrom="page">
              <wp14:pctHeight>0</wp14:pctHeight>
            </wp14:sizeRelV>
          </wp:anchor>
        </w:drawing>
      </w:r>
      <w:r w:rsidR="00341A93" w:rsidRPr="00450594">
        <w:rPr>
          <w:b/>
          <w:lang w:val="en-GB"/>
        </w:rPr>
        <w:t>St Mary’s Catholic School</w:t>
      </w:r>
    </w:p>
    <w:p w14:paraId="55E6A78B" w14:textId="36BDF499" w:rsidR="00341A93" w:rsidRPr="00450594" w:rsidRDefault="007B1995">
      <w:pPr>
        <w:rPr>
          <w:lang w:val="en-GB"/>
        </w:rPr>
      </w:pPr>
      <w:r w:rsidRPr="00450594">
        <w:rPr>
          <w:lang w:val="en-GB"/>
        </w:rPr>
        <w:t>Department</w:t>
      </w:r>
      <w:r w:rsidR="00341A93" w:rsidRPr="00450594">
        <w:rPr>
          <w:lang w:val="en-GB"/>
        </w:rPr>
        <w:t xml:space="preserve"> Curriculum Planning</w:t>
      </w:r>
    </w:p>
    <w:p w14:paraId="3B5CEA64" w14:textId="0F297BAE" w:rsidR="00D57FF3" w:rsidRPr="00450594" w:rsidRDefault="009218EA">
      <w:pPr>
        <w:rPr>
          <w:lang w:val="en-GB"/>
        </w:rPr>
      </w:pPr>
      <w:r w:rsidRPr="00450594">
        <w:rPr>
          <w:lang w:val="en-GB"/>
        </w:rPr>
        <w:t>Department</w:t>
      </w:r>
      <w:r w:rsidR="00AB16D0" w:rsidRPr="00450594">
        <w:rPr>
          <w:lang w:val="en-GB"/>
        </w:rPr>
        <w:t xml:space="preserve">: </w:t>
      </w:r>
      <w:r w:rsidR="009B6030" w:rsidRPr="00450594">
        <w:rPr>
          <w:lang w:val="en-GB"/>
        </w:rPr>
        <w:t xml:space="preserve"> Health and Social Care *</w:t>
      </w:r>
      <w:r w:rsidR="00A97352" w:rsidRPr="00450594">
        <w:rPr>
          <w:lang w:val="en-GB"/>
        </w:rPr>
        <w:t>Children’s Play, Learning and Development (CPLD)</w:t>
      </w:r>
    </w:p>
    <w:p w14:paraId="0C62E66C" w14:textId="77777777" w:rsidR="007723FB" w:rsidRPr="00450594" w:rsidRDefault="007723FB">
      <w:pPr>
        <w:rPr>
          <w:lang w:val="en-GB"/>
        </w:rPr>
      </w:pPr>
    </w:p>
    <w:p w14:paraId="2C4D949B" w14:textId="4A4774B7" w:rsidR="00D06802" w:rsidRPr="00450594" w:rsidRDefault="00312C50">
      <w:pPr>
        <w:rPr>
          <w:lang w:val="en-GB"/>
        </w:rPr>
      </w:pPr>
      <w:r w:rsidRPr="00450594">
        <w:rPr>
          <w:lang w:val="en-GB"/>
        </w:rPr>
        <w:t>Year Group</w:t>
      </w:r>
      <w:r w:rsidR="009218EA" w:rsidRPr="00450594">
        <w:rPr>
          <w:lang w:val="en-GB"/>
        </w:rPr>
        <w:t xml:space="preserve">: </w:t>
      </w:r>
      <w:r w:rsidR="00945C69" w:rsidRPr="00450594">
        <w:rPr>
          <w:lang w:val="en-GB"/>
        </w:rPr>
        <w:t>13</w:t>
      </w:r>
    </w:p>
    <w:p w14:paraId="374AD201" w14:textId="77777777" w:rsidR="00312C50" w:rsidRPr="00450594" w:rsidRDefault="00312C50">
      <w:pPr>
        <w:rPr>
          <w:lang w:val="en-GB"/>
        </w:rPr>
      </w:pPr>
    </w:p>
    <w:p w14:paraId="4C674615" w14:textId="1353AE6D" w:rsidR="00312C50" w:rsidRPr="00450594" w:rsidRDefault="00F95822">
      <w:pPr>
        <w:rPr>
          <w:b/>
          <w:color w:val="7030A0"/>
          <w:lang w:val="en-GB"/>
        </w:rPr>
      </w:pPr>
      <w:r w:rsidRPr="00450594">
        <w:rPr>
          <w:lang w:val="en-GB"/>
        </w:rPr>
        <w:t>This is the plan for the taught curriculum during a</w:t>
      </w:r>
      <w:r w:rsidR="00AB16D0" w:rsidRPr="00450594">
        <w:rPr>
          <w:lang w:val="en-GB"/>
        </w:rPr>
        <w:t>chievement</w:t>
      </w:r>
      <w:r w:rsidRPr="00450594">
        <w:rPr>
          <w:lang w:val="en-GB"/>
        </w:rPr>
        <w:t xml:space="preserve"> period</w:t>
      </w:r>
      <w:r w:rsidR="009B6030" w:rsidRPr="00450594">
        <w:rPr>
          <w:lang w:val="en-GB"/>
        </w:rPr>
        <w:t xml:space="preserve"> 2 &amp;</w:t>
      </w:r>
      <w:proofErr w:type="gramStart"/>
      <w:r w:rsidR="009B6030" w:rsidRPr="00450594">
        <w:rPr>
          <w:lang w:val="en-GB"/>
        </w:rPr>
        <w:t xml:space="preserve">3 </w:t>
      </w:r>
      <w:r w:rsidR="009D03DC" w:rsidRPr="00450594">
        <w:rPr>
          <w:lang w:val="en-GB"/>
        </w:rPr>
        <w:t>.</w:t>
      </w:r>
      <w:proofErr w:type="gramEnd"/>
    </w:p>
    <w:p w14:paraId="30F865AD" w14:textId="77777777" w:rsidR="00AA005C" w:rsidRPr="00450594" w:rsidRDefault="00AA005C">
      <w:pPr>
        <w:rPr>
          <w:lang w:val="en-GB"/>
        </w:rPr>
      </w:pPr>
    </w:p>
    <w:tbl>
      <w:tblPr>
        <w:tblStyle w:val="TableGrid"/>
        <w:tblW w:w="10632" w:type="dxa"/>
        <w:tblInd w:w="-147" w:type="dxa"/>
        <w:tblLook w:val="04A0" w:firstRow="1" w:lastRow="0" w:firstColumn="1" w:lastColumn="0" w:noHBand="0" w:noVBand="1"/>
      </w:tblPr>
      <w:tblGrid>
        <w:gridCol w:w="10632"/>
      </w:tblGrid>
      <w:tr w:rsidR="00AA005C" w:rsidRPr="00450594" w14:paraId="69A11376" w14:textId="77777777" w:rsidTr="00D57FF3">
        <w:tc>
          <w:tcPr>
            <w:tcW w:w="10632" w:type="dxa"/>
            <w:shd w:val="clear" w:color="auto" w:fill="E2EFD9" w:themeFill="accent6" w:themeFillTint="33"/>
          </w:tcPr>
          <w:p w14:paraId="446173B7" w14:textId="7016F072" w:rsidR="00AA005C" w:rsidRPr="00450594" w:rsidRDefault="007B1995" w:rsidP="00717220">
            <w:pPr>
              <w:tabs>
                <w:tab w:val="right" w:pos="8794"/>
              </w:tabs>
              <w:rPr>
                <w:b/>
                <w:lang w:val="en-GB"/>
              </w:rPr>
            </w:pPr>
            <w:r w:rsidRPr="00450594">
              <w:rPr>
                <w:b/>
                <w:lang w:val="en-GB"/>
              </w:rPr>
              <w:t>B</w:t>
            </w:r>
            <w:r w:rsidR="00AA005C" w:rsidRPr="00450594">
              <w:rPr>
                <w:b/>
                <w:lang w:val="en-GB"/>
              </w:rPr>
              <w:t>rief summary of the topic/work being covered during this period</w:t>
            </w:r>
            <w:r w:rsidR="00717220" w:rsidRPr="00450594">
              <w:rPr>
                <w:b/>
                <w:lang w:val="en-GB"/>
              </w:rPr>
              <w:tab/>
            </w:r>
          </w:p>
        </w:tc>
      </w:tr>
      <w:tr w:rsidR="008315F1" w:rsidRPr="00450594" w14:paraId="4BF128E6" w14:textId="77777777" w:rsidTr="00D57FF3">
        <w:tc>
          <w:tcPr>
            <w:tcW w:w="10632" w:type="dxa"/>
          </w:tcPr>
          <w:p w14:paraId="2D982CB3" w14:textId="3EF754EC" w:rsidR="003323DA" w:rsidRPr="00450594" w:rsidRDefault="003323DA" w:rsidP="004F3C65">
            <w:pPr>
              <w:jc w:val="both"/>
              <w:rPr>
                <w:b/>
                <w:lang w:val="en-GB"/>
              </w:rPr>
            </w:pPr>
          </w:p>
          <w:p w14:paraId="4E103F3F" w14:textId="54D29D24" w:rsidR="006B3466" w:rsidRPr="00450594" w:rsidRDefault="009B6030" w:rsidP="006B3466">
            <w:pPr>
              <w:jc w:val="both"/>
              <w:rPr>
                <w:u w:val="single"/>
              </w:rPr>
            </w:pPr>
            <w:r w:rsidRPr="00450594">
              <w:rPr>
                <w:u w:val="single"/>
              </w:rPr>
              <w:t>Extended Certificate CPLD.</w:t>
            </w:r>
          </w:p>
          <w:p w14:paraId="2EE35614" w14:textId="77777777" w:rsidR="009B6030" w:rsidRPr="00450594" w:rsidRDefault="009B6030" w:rsidP="006B3466">
            <w:pPr>
              <w:jc w:val="both"/>
            </w:pPr>
          </w:p>
          <w:p w14:paraId="71A61BA2" w14:textId="492B3033" w:rsidR="00D11E7A" w:rsidRPr="00450594" w:rsidRDefault="009B6030" w:rsidP="00D11E7A">
            <w:pPr>
              <w:jc w:val="both"/>
              <w:rPr>
                <w:b/>
              </w:rPr>
            </w:pPr>
            <w:r w:rsidRPr="00450594">
              <w:rPr>
                <w:b/>
              </w:rPr>
              <w:t xml:space="preserve">Unit 11 </w:t>
            </w:r>
            <w:r w:rsidR="00A97352" w:rsidRPr="00450594">
              <w:rPr>
                <w:b/>
              </w:rPr>
              <w:t xml:space="preserve">: </w:t>
            </w:r>
            <w:r w:rsidRPr="00450594">
              <w:rPr>
                <w:b/>
              </w:rPr>
              <w:t>The Early Years Foundation Stage</w:t>
            </w:r>
            <w:r w:rsidR="00A97352" w:rsidRPr="00450594">
              <w:rPr>
                <w:b/>
              </w:rPr>
              <w:t xml:space="preserve"> </w:t>
            </w:r>
            <w:r w:rsidR="006B3466" w:rsidRPr="00450594">
              <w:rPr>
                <w:b/>
              </w:rPr>
              <w:t xml:space="preserve"> (Coursework unit)</w:t>
            </w:r>
          </w:p>
          <w:p w14:paraId="1D818577" w14:textId="77777777" w:rsidR="006B3466" w:rsidRPr="00450594" w:rsidRDefault="006B3466" w:rsidP="00D11E7A">
            <w:pPr>
              <w:jc w:val="both"/>
              <w:rPr>
                <w:b/>
              </w:rPr>
            </w:pPr>
          </w:p>
          <w:p w14:paraId="16758149" w14:textId="734D46CD" w:rsidR="00D11E7A" w:rsidRPr="00450594" w:rsidRDefault="00D11E7A" w:rsidP="00D11E7A">
            <w:pPr>
              <w:pStyle w:val="ListParagraph"/>
              <w:numPr>
                <w:ilvl w:val="0"/>
                <w:numId w:val="25"/>
              </w:numPr>
              <w:jc w:val="both"/>
            </w:pPr>
            <w:r w:rsidRPr="00450594">
              <w:t>Students wi</w:t>
            </w:r>
            <w:r w:rsidR="009B6030" w:rsidRPr="00450594">
              <w:t>ll investigate the legal status of the EYFS and its main principles.</w:t>
            </w:r>
          </w:p>
          <w:p w14:paraId="76A221F4" w14:textId="24621051" w:rsidR="0010546D" w:rsidRPr="00450594" w:rsidRDefault="0010546D" w:rsidP="00D11E7A">
            <w:pPr>
              <w:pStyle w:val="ListParagraph"/>
              <w:numPr>
                <w:ilvl w:val="0"/>
                <w:numId w:val="25"/>
              </w:numPr>
              <w:jc w:val="both"/>
            </w:pPr>
            <w:r w:rsidRPr="00450594">
              <w:t>Students will research the inspection process.</w:t>
            </w:r>
          </w:p>
          <w:p w14:paraId="1261A6D2" w14:textId="05BB81A8" w:rsidR="00D11E7A" w:rsidRPr="00450594" w:rsidRDefault="00D11E7A" w:rsidP="00D11E7A">
            <w:pPr>
              <w:pStyle w:val="ListParagraph"/>
              <w:numPr>
                <w:ilvl w:val="0"/>
                <w:numId w:val="25"/>
              </w:numPr>
              <w:jc w:val="both"/>
            </w:pPr>
            <w:r w:rsidRPr="00450594">
              <w:t>They will resear</w:t>
            </w:r>
            <w:r w:rsidR="00A97352" w:rsidRPr="00450594">
              <w:t>ch and examine</w:t>
            </w:r>
            <w:r w:rsidR="009B6030" w:rsidRPr="00450594">
              <w:t xml:space="preserve"> the importance of a statutory framework to help improve children’s life chances. </w:t>
            </w:r>
          </w:p>
          <w:p w14:paraId="6867A52F" w14:textId="24B276E2" w:rsidR="00D11E7A" w:rsidRPr="00450594" w:rsidRDefault="00A97352" w:rsidP="00D11E7A">
            <w:pPr>
              <w:pStyle w:val="ListParagraph"/>
              <w:numPr>
                <w:ilvl w:val="0"/>
                <w:numId w:val="25"/>
              </w:numPr>
              <w:jc w:val="both"/>
            </w:pPr>
            <w:r w:rsidRPr="00450594">
              <w:t>Students will investig</w:t>
            </w:r>
            <w:r w:rsidR="0060302E" w:rsidRPr="00450594">
              <w:t xml:space="preserve">ate the requirements for early </w:t>
            </w:r>
            <w:r w:rsidR="00450594" w:rsidRPr="00450594">
              <w:t>year’s</w:t>
            </w:r>
            <w:r w:rsidR="0060302E" w:rsidRPr="00450594">
              <w:t xml:space="preserve"> settings to meet learning, development and assessment requirements of the Early Years Foundation Stage. </w:t>
            </w:r>
          </w:p>
          <w:p w14:paraId="1BA3F5D7" w14:textId="7CBF82C1" w:rsidR="0060302E" w:rsidRPr="00450594" w:rsidRDefault="0060302E" w:rsidP="00D11E7A">
            <w:pPr>
              <w:pStyle w:val="ListParagraph"/>
              <w:numPr>
                <w:ilvl w:val="0"/>
                <w:numId w:val="25"/>
              </w:numPr>
              <w:jc w:val="both"/>
            </w:pPr>
            <w:r w:rsidRPr="00450594">
              <w:t>Students will examine safeguarding and welfare requirements of the Early Years Foundation Stage.</w:t>
            </w:r>
          </w:p>
          <w:p w14:paraId="16F9CBE9" w14:textId="23EE7ABA" w:rsidR="00D11E7A" w:rsidRPr="00450594" w:rsidRDefault="00D11E7A" w:rsidP="00480DC9">
            <w:pPr>
              <w:pStyle w:val="ListParagraph"/>
              <w:numPr>
                <w:ilvl w:val="0"/>
                <w:numId w:val="25"/>
              </w:numPr>
              <w:jc w:val="both"/>
            </w:pPr>
            <w:r w:rsidRPr="00450594">
              <w:t xml:space="preserve">Students </w:t>
            </w:r>
            <w:r w:rsidR="00A97352" w:rsidRPr="00450594">
              <w:t>will develop skills</w:t>
            </w:r>
            <w:r w:rsidR="0060302E" w:rsidRPr="00450594">
              <w:t xml:space="preserve"> to support children in their placement setting to meet safeguarding and welfare needs in accordance with the Early Years Foundation Stage</w:t>
            </w:r>
            <w:r w:rsidR="00A97352" w:rsidRPr="00450594">
              <w:t xml:space="preserve">. </w:t>
            </w:r>
          </w:p>
          <w:p w14:paraId="7ACABFFD" w14:textId="6CA47967" w:rsidR="006B3466" w:rsidRPr="00450594" w:rsidRDefault="00A97352" w:rsidP="00A97352">
            <w:pPr>
              <w:pStyle w:val="ListParagraph"/>
              <w:numPr>
                <w:ilvl w:val="0"/>
                <w:numId w:val="25"/>
              </w:numPr>
              <w:jc w:val="both"/>
            </w:pPr>
            <w:r w:rsidRPr="00450594">
              <w:t>Students will</w:t>
            </w:r>
            <w:r w:rsidR="0060302E" w:rsidRPr="00450594">
              <w:t xml:space="preserve"> demonstrate self-management whilst they</w:t>
            </w:r>
            <w:r w:rsidRPr="00450594">
              <w:t xml:space="preserve"> </w:t>
            </w:r>
            <w:r w:rsidR="0060302E" w:rsidRPr="00450594">
              <w:t xml:space="preserve">plan, lead and record activities with children in their placement setting, that support children to meet their early learning goals across the </w:t>
            </w:r>
            <w:proofErr w:type="gramStart"/>
            <w:r w:rsidR="0060302E" w:rsidRPr="00450594">
              <w:t>7</w:t>
            </w:r>
            <w:proofErr w:type="gramEnd"/>
            <w:r w:rsidR="0060302E" w:rsidRPr="00450594">
              <w:t xml:space="preserve"> areas of learning</w:t>
            </w:r>
            <w:r w:rsidRPr="00450594">
              <w:t xml:space="preserve">. </w:t>
            </w:r>
          </w:p>
          <w:p w14:paraId="5F2EBDBC" w14:textId="2695A982" w:rsidR="001D31C5" w:rsidRPr="00450594" w:rsidRDefault="001D31C5" w:rsidP="001D31C5">
            <w:pPr>
              <w:jc w:val="both"/>
              <w:rPr>
                <w:b/>
              </w:rPr>
            </w:pPr>
          </w:p>
          <w:p w14:paraId="1D0268A4" w14:textId="77777777" w:rsidR="003D5CE7" w:rsidRPr="00450594" w:rsidRDefault="003D5CE7" w:rsidP="00941795">
            <w:pPr>
              <w:jc w:val="both"/>
              <w:rPr>
                <w:lang w:val="en-GB"/>
              </w:rPr>
            </w:pPr>
          </w:p>
          <w:p w14:paraId="799C0CAC" w14:textId="77777777" w:rsidR="009D03DC" w:rsidRPr="00450594" w:rsidRDefault="009D03DC" w:rsidP="009D03DC">
            <w:pPr>
              <w:pStyle w:val="ListParagraph"/>
              <w:rPr>
                <w:b/>
                <w:lang w:val="en-GB"/>
              </w:rPr>
            </w:pPr>
          </w:p>
          <w:p w14:paraId="19C23ED5" w14:textId="0FB5D0F1" w:rsidR="009D03DC" w:rsidRPr="00450594" w:rsidRDefault="009D03DC" w:rsidP="009D03DC">
            <w:pPr>
              <w:jc w:val="both"/>
              <w:rPr>
                <w:b/>
                <w:lang w:val="en-GB"/>
              </w:rPr>
            </w:pPr>
          </w:p>
        </w:tc>
      </w:tr>
      <w:tr w:rsidR="007B1995" w:rsidRPr="00450594" w14:paraId="07B414B0" w14:textId="77777777" w:rsidTr="007B1995">
        <w:tc>
          <w:tcPr>
            <w:tcW w:w="10632" w:type="dxa"/>
            <w:shd w:val="clear" w:color="auto" w:fill="E2EFD9" w:themeFill="accent6" w:themeFillTint="33"/>
          </w:tcPr>
          <w:p w14:paraId="74FC2212" w14:textId="72A33205" w:rsidR="007B1995" w:rsidRPr="00450594" w:rsidRDefault="006E5B6C" w:rsidP="007B1995">
            <w:pPr>
              <w:jc w:val="both"/>
              <w:rPr>
                <w:lang w:val="en-GB"/>
              </w:rPr>
            </w:pPr>
            <w:r w:rsidRPr="00450594">
              <w:rPr>
                <w:b/>
                <w:lang w:val="en-GB"/>
              </w:rPr>
              <w:t>P</w:t>
            </w:r>
            <w:r w:rsidR="007B1995" w:rsidRPr="00450594">
              <w:rPr>
                <w:b/>
                <w:lang w:val="en-GB"/>
              </w:rPr>
              <w:t>rior knowledge needed for this unit/topic from previous teaching</w:t>
            </w:r>
          </w:p>
        </w:tc>
      </w:tr>
      <w:tr w:rsidR="007B1995" w:rsidRPr="00450594" w14:paraId="5B1F8AB2" w14:textId="77777777" w:rsidTr="00D57FF3">
        <w:tc>
          <w:tcPr>
            <w:tcW w:w="10632" w:type="dxa"/>
          </w:tcPr>
          <w:p w14:paraId="65CFBCCC" w14:textId="2E235D78" w:rsidR="007369B8" w:rsidRPr="00450594" w:rsidRDefault="007369B8" w:rsidP="00BD477F">
            <w:pPr>
              <w:rPr>
                <w:lang w:val="en-GB"/>
              </w:rPr>
            </w:pPr>
          </w:p>
          <w:p w14:paraId="21A23A29" w14:textId="03F2DE68" w:rsidR="00ED3696" w:rsidRPr="00450594" w:rsidRDefault="0060302E" w:rsidP="00377CCB">
            <w:pPr>
              <w:rPr>
                <w:lang w:val="en-GB"/>
              </w:rPr>
            </w:pPr>
            <w:r w:rsidRPr="00450594">
              <w:rPr>
                <w:lang w:val="en-GB"/>
              </w:rPr>
              <w:t>In this final piece of coursework for unit 11</w:t>
            </w:r>
            <w:r w:rsidR="00945C69" w:rsidRPr="00450594">
              <w:rPr>
                <w:lang w:val="en-GB"/>
              </w:rPr>
              <w:t xml:space="preserve">, students will be able to build upon </w:t>
            </w:r>
            <w:r w:rsidR="00A97352" w:rsidRPr="00450594">
              <w:rPr>
                <w:lang w:val="en-GB"/>
              </w:rPr>
              <w:t>knowledge</w:t>
            </w:r>
            <w:r w:rsidRPr="00450594">
              <w:rPr>
                <w:lang w:val="en-GB"/>
              </w:rPr>
              <w:t xml:space="preserve"> attained through their whole programme of study</w:t>
            </w:r>
            <w:r w:rsidR="00945C69" w:rsidRPr="00450594">
              <w:rPr>
                <w:lang w:val="en-GB"/>
              </w:rPr>
              <w:t xml:space="preserve">. </w:t>
            </w:r>
            <w:r w:rsidR="00450594">
              <w:rPr>
                <w:lang w:val="en-GB"/>
              </w:rPr>
              <w:t>Students will</w:t>
            </w:r>
            <w:r w:rsidR="00377CCB" w:rsidRPr="00450594">
              <w:rPr>
                <w:lang w:val="en-GB"/>
              </w:rPr>
              <w:t xml:space="preserve"> draw upon their knowledge of curriculum theory and placement experiences to help them to understand the EYFS and it principles, structure and requirements. By the time that students will have completed this unit, they will have undertaken at least 50 hours or more of placement experience, which will enable them to be able to demonstrate their skills (as required in Learning Aim D).</w:t>
            </w:r>
          </w:p>
          <w:p w14:paraId="30878C56" w14:textId="605B1785" w:rsidR="00377CCB" w:rsidRPr="00450594" w:rsidRDefault="00377CCB" w:rsidP="00377CCB">
            <w:pPr>
              <w:rPr>
                <w:b/>
                <w:lang w:val="en-GB"/>
              </w:rPr>
            </w:pPr>
          </w:p>
        </w:tc>
      </w:tr>
      <w:tr w:rsidR="00AA005C" w:rsidRPr="00450594" w14:paraId="079F81EC" w14:textId="77777777" w:rsidTr="00D57FF3">
        <w:tc>
          <w:tcPr>
            <w:tcW w:w="10632" w:type="dxa"/>
            <w:shd w:val="clear" w:color="auto" w:fill="E2EFD9" w:themeFill="accent6" w:themeFillTint="33"/>
          </w:tcPr>
          <w:p w14:paraId="7DBAF03E" w14:textId="26CF0E01" w:rsidR="00AA005C" w:rsidRPr="00450594" w:rsidRDefault="007B1995">
            <w:pPr>
              <w:rPr>
                <w:b/>
                <w:lang w:val="en-GB"/>
              </w:rPr>
            </w:pPr>
            <w:r w:rsidRPr="00450594">
              <w:rPr>
                <w:b/>
                <w:lang w:val="en-GB"/>
              </w:rPr>
              <w:t>R</w:t>
            </w:r>
            <w:r w:rsidR="00AA005C" w:rsidRPr="00450594">
              <w:rPr>
                <w:b/>
                <w:lang w:val="en-GB"/>
              </w:rPr>
              <w:t>ationale for students studying this unit/topic</w:t>
            </w:r>
            <w:r w:rsidRPr="00450594">
              <w:rPr>
                <w:b/>
                <w:lang w:val="en-GB"/>
              </w:rPr>
              <w:t xml:space="preserve"> </w:t>
            </w:r>
          </w:p>
        </w:tc>
      </w:tr>
      <w:tr w:rsidR="008315F1" w:rsidRPr="00450594" w14:paraId="5B871996" w14:textId="77777777" w:rsidTr="00D57FF3">
        <w:tc>
          <w:tcPr>
            <w:tcW w:w="10632" w:type="dxa"/>
          </w:tcPr>
          <w:p w14:paraId="207CCB31" w14:textId="6D9733F1" w:rsidR="007B1995" w:rsidRPr="00450594" w:rsidRDefault="00D42DF2" w:rsidP="007B1995">
            <w:pPr>
              <w:rPr>
                <w:b/>
                <w:lang w:val="en-GB"/>
              </w:rPr>
            </w:pPr>
            <w:r w:rsidRPr="00450594">
              <w:rPr>
                <w:b/>
                <w:lang w:val="en-GB"/>
              </w:rPr>
              <w:t>Rationale for studying these</w:t>
            </w:r>
            <w:r w:rsidR="007B1995" w:rsidRPr="00450594">
              <w:rPr>
                <w:b/>
                <w:lang w:val="en-GB"/>
              </w:rPr>
              <w:t xml:space="preserve"> topic</w:t>
            </w:r>
            <w:r w:rsidRPr="00450594">
              <w:rPr>
                <w:b/>
                <w:lang w:val="en-GB"/>
              </w:rPr>
              <w:t>s</w:t>
            </w:r>
          </w:p>
          <w:p w14:paraId="5FE61331" w14:textId="2DF25F9B" w:rsidR="00F13747" w:rsidRPr="00450594" w:rsidRDefault="00F13747" w:rsidP="007B1995">
            <w:pPr>
              <w:rPr>
                <w:lang w:val="en-GB"/>
              </w:rPr>
            </w:pPr>
          </w:p>
          <w:p w14:paraId="043488E4" w14:textId="0EBDF4D0" w:rsidR="007369B8" w:rsidRPr="00450594" w:rsidRDefault="00377CCB" w:rsidP="007B1995">
            <w:pPr>
              <w:rPr>
                <w:lang w:val="en-GB"/>
              </w:rPr>
            </w:pPr>
            <w:r w:rsidRPr="00450594">
              <w:rPr>
                <w:lang w:val="en-GB"/>
              </w:rPr>
              <w:t xml:space="preserve">Unit 11 is a coursework unit that covers many of the topics that students are already familiar with and are able to apply to their placement experiences. This unit enables students to consolidate their learning over the two-year programme and helps them to make an evaluation of the impact of the EYFS on practice in early years settings. </w:t>
            </w:r>
          </w:p>
          <w:p w14:paraId="06425882" w14:textId="77777777" w:rsidR="004F3C65" w:rsidRPr="00450594" w:rsidRDefault="004F3C65" w:rsidP="007B1995">
            <w:pPr>
              <w:jc w:val="both"/>
              <w:rPr>
                <w:b/>
                <w:bCs/>
                <w:lang w:val="en-GB"/>
              </w:rPr>
            </w:pPr>
          </w:p>
          <w:p w14:paraId="40BA51EB" w14:textId="722E52A1" w:rsidR="004F3C65" w:rsidRPr="00450594" w:rsidRDefault="007B1995" w:rsidP="004F3C65">
            <w:pPr>
              <w:jc w:val="both"/>
              <w:rPr>
                <w:b/>
                <w:bCs/>
                <w:lang w:val="en-GB"/>
              </w:rPr>
            </w:pPr>
            <w:r w:rsidRPr="00450594">
              <w:rPr>
                <w:b/>
                <w:bCs/>
                <w:lang w:val="en-GB"/>
              </w:rPr>
              <w:t>Rationale for timing of this topic</w:t>
            </w:r>
          </w:p>
          <w:p w14:paraId="7624D602" w14:textId="7E32FDBD" w:rsidR="004C740E" w:rsidRPr="00450594" w:rsidRDefault="004C740E" w:rsidP="004F3C65">
            <w:pPr>
              <w:jc w:val="both"/>
              <w:rPr>
                <w:b/>
                <w:bCs/>
                <w:lang w:val="en-GB"/>
              </w:rPr>
            </w:pPr>
          </w:p>
          <w:p w14:paraId="29D71441" w14:textId="63E72F7D" w:rsidR="00377CCB" w:rsidRPr="00450594" w:rsidRDefault="00377CCB" w:rsidP="00377CCB">
            <w:pPr>
              <w:rPr>
                <w:lang w:val="en-GB"/>
              </w:rPr>
            </w:pPr>
            <w:r w:rsidRPr="00450594">
              <w:rPr>
                <w:lang w:val="en-GB"/>
              </w:rPr>
              <w:t>Un</w:t>
            </w:r>
            <w:r w:rsidRPr="00450594">
              <w:rPr>
                <w:lang w:val="en-GB"/>
              </w:rPr>
              <w:t>it 11</w:t>
            </w:r>
            <w:r w:rsidR="00450594">
              <w:rPr>
                <w:lang w:val="en-GB"/>
              </w:rPr>
              <w:t xml:space="preserve"> is an optional unit and </w:t>
            </w:r>
            <w:r w:rsidRPr="00450594">
              <w:rPr>
                <w:lang w:val="en-GB"/>
              </w:rPr>
              <w:t>studied at the end of the CPLD programme</w:t>
            </w:r>
            <w:r w:rsidRPr="00450594">
              <w:rPr>
                <w:lang w:val="en-GB"/>
              </w:rPr>
              <w:t>;</w:t>
            </w:r>
            <w:r w:rsidRPr="00450594">
              <w:rPr>
                <w:lang w:val="en-GB"/>
              </w:rPr>
              <w:t xml:space="preserve"> this means that students are more confident and knowledgeable to plan, lead and demonstrate consistent adherence to safeguarding and welfare of children in an early years setting. </w:t>
            </w:r>
          </w:p>
          <w:p w14:paraId="3F3BBFD1" w14:textId="737BCA4D" w:rsidR="00BD29F2" w:rsidRPr="00450594" w:rsidRDefault="00BD29F2" w:rsidP="004F3C65">
            <w:pPr>
              <w:jc w:val="both"/>
              <w:rPr>
                <w:bCs/>
                <w:lang w:val="en-GB"/>
              </w:rPr>
            </w:pPr>
          </w:p>
          <w:p w14:paraId="27C56A2D" w14:textId="04E4761B" w:rsidR="00D57FF3" w:rsidRPr="00450594" w:rsidRDefault="00D57FF3" w:rsidP="004F3C65">
            <w:pPr>
              <w:jc w:val="both"/>
              <w:rPr>
                <w:bCs/>
                <w:lang w:val="en-GB"/>
              </w:rPr>
            </w:pPr>
          </w:p>
        </w:tc>
      </w:tr>
      <w:tr w:rsidR="00AA005C" w:rsidRPr="00450594" w14:paraId="6BD43A62" w14:textId="77777777" w:rsidTr="00D57FF3">
        <w:tc>
          <w:tcPr>
            <w:tcW w:w="10632" w:type="dxa"/>
            <w:shd w:val="clear" w:color="auto" w:fill="E2EFD9" w:themeFill="accent6" w:themeFillTint="33"/>
          </w:tcPr>
          <w:p w14:paraId="23E38E3B" w14:textId="7A3755DA" w:rsidR="00AA005C" w:rsidRPr="00450594" w:rsidRDefault="003B1C40">
            <w:pPr>
              <w:rPr>
                <w:b/>
                <w:lang w:val="en-GB"/>
              </w:rPr>
            </w:pPr>
            <w:r w:rsidRPr="00450594">
              <w:rPr>
                <w:b/>
                <w:lang w:val="en-GB"/>
              </w:rPr>
              <w:lastRenderedPageBreak/>
              <w:t>K</w:t>
            </w:r>
            <w:r w:rsidR="00AA005C" w:rsidRPr="00450594">
              <w:rPr>
                <w:b/>
                <w:lang w:val="en-GB"/>
              </w:rPr>
              <w:t>ey concepts/ideas that are taught to students in this unit/topic</w:t>
            </w:r>
            <w:r w:rsidR="007B1995" w:rsidRPr="00450594">
              <w:rPr>
                <w:b/>
                <w:lang w:val="en-GB"/>
              </w:rPr>
              <w:t xml:space="preserve">, including </w:t>
            </w:r>
            <w:r w:rsidRPr="00450594">
              <w:rPr>
                <w:b/>
                <w:lang w:val="en-GB"/>
              </w:rPr>
              <w:t>a</w:t>
            </w:r>
            <w:r w:rsidR="007B1995" w:rsidRPr="00450594">
              <w:rPr>
                <w:b/>
                <w:lang w:val="en-GB"/>
              </w:rPr>
              <w:t xml:space="preserve">ny </w:t>
            </w:r>
            <w:r w:rsidR="00F56CCA" w:rsidRPr="00450594">
              <w:rPr>
                <w:b/>
                <w:lang w:val="en-GB"/>
              </w:rPr>
              <w:t xml:space="preserve">anticipated gaps in </w:t>
            </w:r>
            <w:r w:rsidR="007B1995" w:rsidRPr="00450594">
              <w:rPr>
                <w:b/>
                <w:lang w:val="en-GB"/>
              </w:rPr>
              <w:t>knowledge</w:t>
            </w:r>
            <w:r w:rsidR="00F56CCA" w:rsidRPr="00450594">
              <w:rPr>
                <w:b/>
                <w:lang w:val="en-GB"/>
              </w:rPr>
              <w:t xml:space="preserve"> </w:t>
            </w:r>
            <w:r w:rsidRPr="00450594">
              <w:rPr>
                <w:b/>
                <w:lang w:val="en-GB"/>
              </w:rPr>
              <w:t xml:space="preserve">and </w:t>
            </w:r>
            <w:r w:rsidR="007B1995" w:rsidRPr="00450594">
              <w:rPr>
                <w:b/>
                <w:lang w:val="en-GB"/>
              </w:rPr>
              <w:t>plan</w:t>
            </w:r>
            <w:r w:rsidR="00F56CCA" w:rsidRPr="00450594">
              <w:rPr>
                <w:b/>
                <w:lang w:val="en-GB"/>
              </w:rPr>
              <w:t xml:space="preserve"> to overcome</w:t>
            </w:r>
            <w:r w:rsidR="007B1995" w:rsidRPr="00450594">
              <w:rPr>
                <w:b/>
                <w:lang w:val="en-GB"/>
              </w:rPr>
              <w:t xml:space="preserve"> these</w:t>
            </w:r>
          </w:p>
        </w:tc>
      </w:tr>
      <w:tr w:rsidR="008315F1" w:rsidRPr="00450594" w14:paraId="70E88F15" w14:textId="77777777" w:rsidTr="00D57FF3">
        <w:tc>
          <w:tcPr>
            <w:tcW w:w="10632" w:type="dxa"/>
          </w:tcPr>
          <w:p w14:paraId="68E76F66" w14:textId="77777777" w:rsidR="009362CB" w:rsidRPr="00450594" w:rsidRDefault="009362CB" w:rsidP="009362CB">
            <w:pPr>
              <w:pStyle w:val="ListParagraph"/>
              <w:jc w:val="both"/>
              <w:rPr>
                <w:lang w:val="en-GB"/>
              </w:rPr>
            </w:pPr>
          </w:p>
          <w:p w14:paraId="32F9205B" w14:textId="7456EAA6" w:rsidR="009362CB" w:rsidRPr="00450594" w:rsidRDefault="009362CB" w:rsidP="009362CB">
            <w:pPr>
              <w:pStyle w:val="ListParagraph"/>
              <w:jc w:val="both"/>
              <w:rPr>
                <w:b/>
                <w:lang w:val="en-GB"/>
              </w:rPr>
            </w:pPr>
            <w:r w:rsidRPr="00450594">
              <w:rPr>
                <w:b/>
                <w:lang w:val="en-GB"/>
              </w:rPr>
              <w:t>Unit 1</w:t>
            </w:r>
            <w:r w:rsidR="00377CCB" w:rsidRPr="00450594">
              <w:rPr>
                <w:b/>
                <w:lang w:val="en-GB"/>
              </w:rPr>
              <w:t>1</w:t>
            </w:r>
            <w:r w:rsidRPr="00450594">
              <w:rPr>
                <w:b/>
                <w:lang w:val="en-GB"/>
              </w:rPr>
              <w:t>:</w:t>
            </w:r>
          </w:p>
          <w:p w14:paraId="24D9B7D9" w14:textId="4F6EC37E" w:rsidR="009968A1" w:rsidRPr="00450594" w:rsidRDefault="009968A1" w:rsidP="009362CB">
            <w:pPr>
              <w:pStyle w:val="ListParagraph"/>
              <w:jc w:val="both"/>
              <w:rPr>
                <w:b/>
                <w:lang w:val="en-GB"/>
              </w:rPr>
            </w:pPr>
          </w:p>
          <w:p w14:paraId="6F339694" w14:textId="54E1183B" w:rsidR="00FD5D4F" w:rsidRPr="00450594" w:rsidRDefault="00377CCB" w:rsidP="00B114D1">
            <w:pPr>
              <w:pStyle w:val="ListParagraph"/>
              <w:numPr>
                <w:ilvl w:val="0"/>
                <w:numId w:val="33"/>
              </w:numPr>
              <w:jc w:val="both"/>
            </w:pPr>
            <w:r w:rsidRPr="00450594">
              <w:t>Explain the legal status of the EYFS and inspection process</w:t>
            </w:r>
            <w:r w:rsidR="00FD5D4F" w:rsidRPr="00450594">
              <w:t xml:space="preserve">. </w:t>
            </w:r>
          </w:p>
          <w:p w14:paraId="7161FFCE" w14:textId="4C9FE02B" w:rsidR="00FD5D4F" w:rsidRPr="00450594" w:rsidRDefault="0010546D" w:rsidP="00B114D1">
            <w:pPr>
              <w:pStyle w:val="ListParagraph"/>
              <w:numPr>
                <w:ilvl w:val="0"/>
                <w:numId w:val="33"/>
              </w:numPr>
              <w:jc w:val="both"/>
            </w:pPr>
            <w:r w:rsidRPr="00450594">
              <w:t>Explore how EYFS has shaped practices in early years settings.</w:t>
            </w:r>
          </w:p>
          <w:p w14:paraId="685F92F7" w14:textId="43CFA254" w:rsidR="00B114D1" w:rsidRPr="00450594" w:rsidRDefault="00FD5D4F" w:rsidP="00B114D1">
            <w:pPr>
              <w:pStyle w:val="ListParagraph"/>
              <w:numPr>
                <w:ilvl w:val="0"/>
                <w:numId w:val="33"/>
              </w:numPr>
              <w:jc w:val="both"/>
            </w:pPr>
            <w:r w:rsidRPr="00450594">
              <w:t>Dete</w:t>
            </w:r>
            <w:r w:rsidR="0010546D" w:rsidRPr="00450594">
              <w:t>rmine how the EYFS prepares</w:t>
            </w:r>
            <w:bookmarkStart w:id="0" w:name="_GoBack"/>
            <w:bookmarkEnd w:id="0"/>
            <w:r w:rsidR="0010546D" w:rsidRPr="00450594">
              <w:t xml:space="preserve"> children for school at the age of 5 years.</w:t>
            </w:r>
          </w:p>
          <w:p w14:paraId="415B153F" w14:textId="0A49F897" w:rsidR="00204EA6" w:rsidRPr="00450594" w:rsidRDefault="00B114D1" w:rsidP="00B114D1">
            <w:pPr>
              <w:pStyle w:val="ListParagraph"/>
              <w:numPr>
                <w:ilvl w:val="0"/>
                <w:numId w:val="33"/>
              </w:numPr>
              <w:jc w:val="both"/>
            </w:pPr>
            <w:r w:rsidRPr="00450594">
              <w:t>Review th</w:t>
            </w:r>
            <w:r w:rsidR="0010546D" w:rsidRPr="00450594">
              <w:t xml:space="preserve">e safeguarding requirements of the EYFS and apply appropriate examples to their placement experiences. </w:t>
            </w:r>
            <w:r w:rsidR="004B4D51" w:rsidRPr="00450594">
              <w:rPr>
                <w:lang w:val="en-GB"/>
              </w:rPr>
              <w:t xml:space="preserve"> </w:t>
            </w:r>
          </w:p>
          <w:p w14:paraId="6BA50A79" w14:textId="63BCE255" w:rsidR="00B114D1" w:rsidRPr="00450594" w:rsidRDefault="0010546D" w:rsidP="00B114D1">
            <w:pPr>
              <w:pStyle w:val="ListParagraph"/>
              <w:numPr>
                <w:ilvl w:val="0"/>
                <w:numId w:val="33"/>
              </w:numPr>
              <w:jc w:val="both"/>
            </w:pPr>
            <w:r w:rsidRPr="00450594">
              <w:t xml:space="preserve">Research examples of educational </w:t>
            </w:r>
            <w:proofErr w:type="spellStart"/>
            <w:r w:rsidRPr="00450594">
              <w:t>programme’s</w:t>
            </w:r>
            <w:proofErr w:type="spellEnd"/>
            <w:r w:rsidRPr="00450594">
              <w:t xml:space="preserve"> in an early years setting and how it provides opportunity for learning and development</w:t>
            </w:r>
            <w:r w:rsidR="00B114D1" w:rsidRPr="00450594">
              <w:t>.</w:t>
            </w:r>
          </w:p>
          <w:p w14:paraId="0625B1F3" w14:textId="616A1FFB" w:rsidR="004B4D51" w:rsidRPr="00450594" w:rsidRDefault="0010546D" w:rsidP="0010546D">
            <w:pPr>
              <w:pStyle w:val="ListParagraph"/>
              <w:numPr>
                <w:ilvl w:val="0"/>
                <w:numId w:val="33"/>
              </w:numPr>
              <w:jc w:val="both"/>
              <w:rPr>
                <w:lang w:val="en-GB"/>
              </w:rPr>
            </w:pPr>
            <w:r w:rsidRPr="00450594">
              <w:t xml:space="preserve">Demonstrate skills to support </w:t>
            </w:r>
            <w:r w:rsidR="00EC61FE" w:rsidRPr="00450594">
              <w:t>children</w:t>
            </w:r>
            <w:r w:rsidRPr="00450594">
              <w:t>’s progress</w:t>
            </w:r>
            <w:r w:rsidR="00EC61FE" w:rsidRPr="00450594">
              <w:t xml:space="preserve"> </w:t>
            </w:r>
            <w:r w:rsidRPr="00450594">
              <w:t xml:space="preserve">and meet safeguarding and welfare requirements. </w:t>
            </w:r>
          </w:p>
          <w:p w14:paraId="6784E8EC" w14:textId="3A1D03C0" w:rsidR="0010546D" w:rsidRPr="00450594" w:rsidRDefault="0010546D" w:rsidP="0010546D">
            <w:pPr>
              <w:pStyle w:val="ListParagraph"/>
              <w:jc w:val="both"/>
              <w:rPr>
                <w:lang w:val="en-GB"/>
              </w:rPr>
            </w:pPr>
          </w:p>
        </w:tc>
      </w:tr>
      <w:tr w:rsidR="00AA005C" w:rsidRPr="00450594" w14:paraId="5B2CDDBC" w14:textId="77777777" w:rsidTr="00D57FF3">
        <w:tc>
          <w:tcPr>
            <w:tcW w:w="10632" w:type="dxa"/>
            <w:shd w:val="clear" w:color="auto" w:fill="E2EFD9" w:themeFill="accent6" w:themeFillTint="33"/>
          </w:tcPr>
          <w:p w14:paraId="24C6014E" w14:textId="31085703" w:rsidR="00AA005C" w:rsidRPr="00450594" w:rsidRDefault="003B1C40">
            <w:pPr>
              <w:rPr>
                <w:b/>
                <w:lang w:val="en-GB"/>
              </w:rPr>
            </w:pPr>
            <w:r w:rsidRPr="00450594">
              <w:rPr>
                <w:b/>
                <w:lang w:val="en-GB"/>
              </w:rPr>
              <w:t>New</w:t>
            </w:r>
            <w:r w:rsidR="004124B4" w:rsidRPr="00450594">
              <w:rPr>
                <w:b/>
                <w:lang w:val="en-GB"/>
              </w:rPr>
              <w:t xml:space="preserve"> </w:t>
            </w:r>
            <w:r w:rsidR="00AA005C" w:rsidRPr="00450594">
              <w:rPr>
                <w:b/>
                <w:lang w:val="en-GB"/>
              </w:rPr>
              <w:t xml:space="preserve">key terminology </w:t>
            </w:r>
            <w:r w:rsidRPr="00450594">
              <w:rPr>
                <w:b/>
                <w:lang w:val="en-GB"/>
              </w:rPr>
              <w:t>s</w:t>
            </w:r>
            <w:r w:rsidR="00AA005C" w:rsidRPr="00450594">
              <w:rPr>
                <w:b/>
                <w:lang w:val="en-GB"/>
              </w:rPr>
              <w:t xml:space="preserve">tudents </w:t>
            </w:r>
            <w:r w:rsidRPr="00450594">
              <w:rPr>
                <w:b/>
                <w:lang w:val="en-GB"/>
              </w:rPr>
              <w:t xml:space="preserve">will be </w:t>
            </w:r>
            <w:r w:rsidR="00AA005C" w:rsidRPr="00450594">
              <w:rPr>
                <w:b/>
                <w:lang w:val="en-GB"/>
              </w:rPr>
              <w:t>taught during this topic/unit</w:t>
            </w:r>
          </w:p>
        </w:tc>
      </w:tr>
      <w:tr w:rsidR="008315F1" w:rsidRPr="00450594" w14:paraId="09BEEACA" w14:textId="77777777" w:rsidTr="007B04C0">
        <w:trPr>
          <w:trHeight w:val="640"/>
        </w:trPr>
        <w:tc>
          <w:tcPr>
            <w:tcW w:w="10632" w:type="dxa"/>
          </w:tcPr>
          <w:p w14:paraId="0D8F55A8" w14:textId="6118C95E" w:rsidR="00651F14" w:rsidRPr="00450594" w:rsidRDefault="00651F14" w:rsidP="00843F11">
            <w:pPr>
              <w:rPr>
                <w:lang w:val="en-GB"/>
              </w:rPr>
            </w:pPr>
          </w:p>
          <w:p w14:paraId="0EF2021A" w14:textId="1C403974" w:rsidR="0010546D" w:rsidRPr="00450594" w:rsidRDefault="00450594" w:rsidP="00843F11">
            <w:pPr>
              <w:rPr>
                <w:lang w:val="en-GB"/>
              </w:rPr>
            </w:pPr>
            <w:r w:rsidRPr="00450594">
              <w:rPr>
                <w:lang w:val="en-GB"/>
              </w:rPr>
              <w:t>Children’s</w:t>
            </w:r>
            <w:r w:rsidR="0010546D" w:rsidRPr="00450594">
              <w:rPr>
                <w:lang w:val="en-GB"/>
              </w:rPr>
              <w:t xml:space="preserve"> Act 2004, Data Protection Act 1998, Safeguarding Vulnerable Groups Act 2006, early learning goals, prime areas of learning, specific areas of learning, Ofsted inspection, principles of EYFS, summative assessment, progress checks, </w:t>
            </w:r>
            <w:r w:rsidRPr="00450594">
              <w:rPr>
                <w:lang w:val="en-GB"/>
              </w:rPr>
              <w:t xml:space="preserve">key worker, child protection, recruitment process, risk assessment, recognising changes in behaviour. </w:t>
            </w:r>
          </w:p>
          <w:p w14:paraId="7134982D" w14:textId="3F59CE54" w:rsidR="00843F11" w:rsidRPr="00450594" w:rsidRDefault="00843F11" w:rsidP="00843F11">
            <w:pPr>
              <w:rPr>
                <w:lang w:val="en-GB"/>
              </w:rPr>
            </w:pPr>
          </w:p>
        </w:tc>
      </w:tr>
      <w:tr w:rsidR="00717220" w:rsidRPr="00450594" w14:paraId="0BD4097E" w14:textId="77777777" w:rsidTr="00D57FF3">
        <w:tc>
          <w:tcPr>
            <w:tcW w:w="10632" w:type="dxa"/>
            <w:shd w:val="clear" w:color="auto" w:fill="E2EFD9" w:themeFill="accent6" w:themeFillTint="33"/>
          </w:tcPr>
          <w:p w14:paraId="7C420558" w14:textId="71D83BBA" w:rsidR="00717220" w:rsidRPr="00450594" w:rsidRDefault="003B1C40">
            <w:pPr>
              <w:rPr>
                <w:b/>
                <w:lang w:val="en-GB"/>
              </w:rPr>
            </w:pPr>
            <w:r w:rsidRPr="00450594">
              <w:rPr>
                <w:b/>
                <w:lang w:val="en-GB"/>
              </w:rPr>
              <w:t xml:space="preserve">Plan for Assessment </w:t>
            </w:r>
          </w:p>
        </w:tc>
      </w:tr>
      <w:tr w:rsidR="00717220" w:rsidRPr="00450594" w14:paraId="56B7F9FC" w14:textId="77777777" w:rsidTr="00D57FF3">
        <w:tc>
          <w:tcPr>
            <w:tcW w:w="10632" w:type="dxa"/>
          </w:tcPr>
          <w:p w14:paraId="7D3EED9B" w14:textId="77777777" w:rsidR="00256283" w:rsidRPr="00450594" w:rsidRDefault="00256283" w:rsidP="004F3C65">
            <w:pPr>
              <w:jc w:val="both"/>
              <w:rPr>
                <w:b/>
                <w:lang w:val="en-GB"/>
              </w:rPr>
            </w:pPr>
          </w:p>
          <w:p w14:paraId="0FD837D2" w14:textId="53AF3140" w:rsidR="00843F11" w:rsidRPr="00450594" w:rsidRDefault="003D52E6" w:rsidP="004F3C65">
            <w:pPr>
              <w:jc w:val="both"/>
              <w:rPr>
                <w:b/>
                <w:lang w:val="en-GB"/>
              </w:rPr>
            </w:pPr>
            <w:r w:rsidRPr="00450594">
              <w:rPr>
                <w:b/>
                <w:lang w:val="en-GB"/>
              </w:rPr>
              <w:t>Assignment 1</w:t>
            </w:r>
          </w:p>
          <w:p w14:paraId="03013B52" w14:textId="614D6ED0" w:rsidR="003D52E6" w:rsidRPr="00450594" w:rsidRDefault="003D52E6" w:rsidP="004F3C65">
            <w:pPr>
              <w:jc w:val="both"/>
              <w:rPr>
                <w:lang w:val="en-GB"/>
              </w:rPr>
            </w:pPr>
          </w:p>
          <w:p w14:paraId="72A0F9FA" w14:textId="7EB9A53A" w:rsidR="003D52E6" w:rsidRPr="00450594" w:rsidRDefault="003D52E6" w:rsidP="004F3C65">
            <w:pPr>
              <w:jc w:val="both"/>
              <w:rPr>
                <w:lang w:val="en-GB"/>
              </w:rPr>
            </w:pPr>
            <w:r w:rsidRPr="00450594">
              <w:rPr>
                <w:lang w:val="en-GB"/>
              </w:rPr>
              <w:t>Formative Assessment - every 2 weeks, written tasks.</w:t>
            </w:r>
          </w:p>
          <w:p w14:paraId="4D193C0B" w14:textId="5C214B89" w:rsidR="003D52E6" w:rsidRPr="00450594" w:rsidRDefault="003D52E6" w:rsidP="004F3C65">
            <w:pPr>
              <w:jc w:val="both"/>
              <w:rPr>
                <w:lang w:val="en-GB"/>
              </w:rPr>
            </w:pPr>
          </w:p>
          <w:p w14:paraId="045BA2EF" w14:textId="243E1521" w:rsidR="003D52E6" w:rsidRPr="00450594" w:rsidRDefault="003D52E6" w:rsidP="004F3C65">
            <w:pPr>
              <w:jc w:val="both"/>
              <w:rPr>
                <w:lang w:val="en-GB"/>
              </w:rPr>
            </w:pPr>
            <w:r w:rsidRPr="00450594">
              <w:rPr>
                <w:lang w:val="en-GB"/>
              </w:rPr>
              <w:t>Summative Assessment - Submission of completed Assignment 1</w:t>
            </w:r>
            <w:r w:rsidR="00450594" w:rsidRPr="00450594">
              <w:rPr>
                <w:lang w:val="en-GB"/>
              </w:rPr>
              <w:t xml:space="preserve"> report 31.3.21</w:t>
            </w:r>
          </w:p>
          <w:p w14:paraId="215AF15F" w14:textId="66C09427" w:rsidR="00843F11" w:rsidRPr="00450594" w:rsidRDefault="00843F11" w:rsidP="004F3C65">
            <w:pPr>
              <w:jc w:val="both"/>
              <w:rPr>
                <w:b/>
                <w:lang w:val="en-GB"/>
              </w:rPr>
            </w:pPr>
          </w:p>
          <w:p w14:paraId="77F83890" w14:textId="31D44037" w:rsidR="00256283" w:rsidRPr="00450594" w:rsidRDefault="003D52E6" w:rsidP="004F3C65">
            <w:pPr>
              <w:jc w:val="both"/>
              <w:rPr>
                <w:b/>
                <w:lang w:val="en-GB"/>
              </w:rPr>
            </w:pPr>
            <w:r w:rsidRPr="00450594">
              <w:rPr>
                <w:b/>
                <w:lang w:val="en-GB"/>
              </w:rPr>
              <w:t>Assignment 2</w:t>
            </w:r>
          </w:p>
          <w:p w14:paraId="4A0542B1" w14:textId="36B04FF4" w:rsidR="004F3C65" w:rsidRPr="00450594" w:rsidRDefault="004F3C65" w:rsidP="004F3C65">
            <w:pPr>
              <w:jc w:val="both"/>
              <w:rPr>
                <w:lang w:val="en-GB"/>
              </w:rPr>
            </w:pPr>
          </w:p>
          <w:p w14:paraId="24F8128B" w14:textId="633C8956" w:rsidR="003D52E6" w:rsidRPr="00450594" w:rsidRDefault="003D52E6" w:rsidP="004F3C65">
            <w:pPr>
              <w:jc w:val="both"/>
              <w:rPr>
                <w:lang w:val="en-GB"/>
              </w:rPr>
            </w:pPr>
            <w:r w:rsidRPr="00450594">
              <w:rPr>
                <w:lang w:val="en-GB"/>
              </w:rPr>
              <w:t>Formative Assessment – every 2 weeks, written tasks.</w:t>
            </w:r>
          </w:p>
          <w:p w14:paraId="246D90D8" w14:textId="77777777" w:rsidR="003D52E6" w:rsidRPr="00450594" w:rsidRDefault="003D52E6" w:rsidP="004F3C65">
            <w:pPr>
              <w:jc w:val="both"/>
              <w:rPr>
                <w:lang w:val="en-GB"/>
              </w:rPr>
            </w:pPr>
          </w:p>
          <w:p w14:paraId="70F374F9" w14:textId="115811DF" w:rsidR="003D52E6" w:rsidRPr="00450594" w:rsidRDefault="003D52E6" w:rsidP="004F3C65">
            <w:pPr>
              <w:jc w:val="both"/>
              <w:rPr>
                <w:b/>
                <w:lang w:val="en-GB"/>
              </w:rPr>
            </w:pPr>
            <w:r w:rsidRPr="00450594">
              <w:rPr>
                <w:lang w:val="en-GB"/>
              </w:rPr>
              <w:t>Summative Assessment – Submission of completed As</w:t>
            </w:r>
            <w:r w:rsidR="00450594" w:rsidRPr="00450594">
              <w:rPr>
                <w:lang w:val="en-GB"/>
              </w:rPr>
              <w:t>signment 2 report on 8.4.22</w:t>
            </w:r>
          </w:p>
          <w:p w14:paraId="5C3307BE" w14:textId="77777777" w:rsidR="004F3C65" w:rsidRPr="00450594" w:rsidRDefault="004F3C65" w:rsidP="004F3C65">
            <w:pPr>
              <w:jc w:val="both"/>
              <w:rPr>
                <w:b/>
                <w:lang w:val="en-GB"/>
              </w:rPr>
            </w:pPr>
          </w:p>
          <w:p w14:paraId="04233BC0" w14:textId="34AFED65" w:rsidR="004F3C65" w:rsidRPr="00450594" w:rsidRDefault="004F3C65" w:rsidP="004F3C65">
            <w:pPr>
              <w:jc w:val="both"/>
              <w:rPr>
                <w:b/>
                <w:lang w:val="en-GB"/>
              </w:rPr>
            </w:pPr>
          </w:p>
        </w:tc>
      </w:tr>
    </w:tbl>
    <w:p w14:paraId="1CE33F4D" w14:textId="0A74C09C" w:rsidR="00F95822" w:rsidRPr="00450594" w:rsidRDefault="00F95822">
      <w:pPr>
        <w:rPr>
          <w:lang w:val="en-GB"/>
        </w:rPr>
      </w:pPr>
    </w:p>
    <w:p w14:paraId="3C0DD892" w14:textId="7A3A1FD8" w:rsidR="007B1995" w:rsidRPr="00450594" w:rsidRDefault="007B1995">
      <w:pPr>
        <w:rPr>
          <w:lang w:val="en-GB"/>
        </w:rPr>
      </w:pPr>
    </w:p>
    <w:p w14:paraId="22E49443" w14:textId="36188C4E" w:rsidR="007B1995" w:rsidRPr="00450594" w:rsidRDefault="007B1995">
      <w:pPr>
        <w:rPr>
          <w:lang w:val="en-GB"/>
        </w:rPr>
      </w:pPr>
    </w:p>
    <w:p w14:paraId="6542BD36" w14:textId="56608F34" w:rsidR="00312C50" w:rsidRPr="00450594" w:rsidRDefault="00312C50">
      <w:pPr>
        <w:rPr>
          <w:lang w:val="en-GB"/>
        </w:rPr>
      </w:pPr>
    </w:p>
    <w:sectPr w:rsidR="00312C50" w:rsidRPr="00450594" w:rsidSect="007B1995">
      <w:pgSz w:w="11900" w:h="16840"/>
      <w:pgMar w:top="720" w:right="714"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E7F"/>
    <w:multiLevelType w:val="hybridMultilevel"/>
    <w:tmpl w:val="FD6E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6426E"/>
    <w:multiLevelType w:val="hybridMultilevel"/>
    <w:tmpl w:val="683E7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F71D6"/>
    <w:multiLevelType w:val="hybridMultilevel"/>
    <w:tmpl w:val="C354F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83B31"/>
    <w:multiLevelType w:val="hybridMultilevel"/>
    <w:tmpl w:val="18224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465504"/>
    <w:multiLevelType w:val="hybridMultilevel"/>
    <w:tmpl w:val="CCAEB3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EF377F"/>
    <w:multiLevelType w:val="hybridMultilevel"/>
    <w:tmpl w:val="A9BE56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DCB27FF"/>
    <w:multiLevelType w:val="multilevel"/>
    <w:tmpl w:val="0532AB5A"/>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E223123"/>
    <w:multiLevelType w:val="hybridMultilevel"/>
    <w:tmpl w:val="9A30C25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F127B6"/>
    <w:multiLevelType w:val="hybridMultilevel"/>
    <w:tmpl w:val="6E10F3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88059A"/>
    <w:multiLevelType w:val="hybridMultilevel"/>
    <w:tmpl w:val="2A44D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7F2F33"/>
    <w:multiLevelType w:val="hybridMultilevel"/>
    <w:tmpl w:val="FB20C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D60343"/>
    <w:multiLevelType w:val="hybridMultilevel"/>
    <w:tmpl w:val="9DCAD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ED183D"/>
    <w:multiLevelType w:val="hybridMultilevel"/>
    <w:tmpl w:val="2DF46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326C71"/>
    <w:multiLevelType w:val="hybridMultilevel"/>
    <w:tmpl w:val="D292D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377640"/>
    <w:multiLevelType w:val="hybridMultilevel"/>
    <w:tmpl w:val="ADEE2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A126E3"/>
    <w:multiLevelType w:val="hybridMultilevel"/>
    <w:tmpl w:val="15C6B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F26A65"/>
    <w:multiLevelType w:val="hybridMultilevel"/>
    <w:tmpl w:val="FF48253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07092F"/>
    <w:multiLevelType w:val="hybridMultilevel"/>
    <w:tmpl w:val="023AD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657D8F"/>
    <w:multiLevelType w:val="multilevel"/>
    <w:tmpl w:val="0532AB5A"/>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B5D62A2"/>
    <w:multiLevelType w:val="hybridMultilevel"/>
    <w:tmpl w:val="5C9407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3322EC"/>
    <w:multiLevelType w:val="hybridMultilevel"/>
    <w:tmpl w:val="DBEC9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473D7F"/>
    <w:multiLevelType w:val="hybridMultilevel"/>
    <w:tmpl w:val="CB6C8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A34983"/>
    <w:multiLevelType w:val="hybridMultilevel"/>
    <w:tmpl w:val="EAD45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797B44"/>
    <w:multiLevelType w:val="hybridMultilevel"/>
    <w:tmpl w:val="723E2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0000D2"/>
    <w:multiLevelType w:val="multilevel"/>
    <w:tmpl w:val="908491E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633C4C63"/>
    <w:multiLevelType w:val="hybridMultilevel"/>
    <w:tmpl w:val="6DC24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642E07"/>
    <w:multiLevelType w:val="multilevel"/>
    <w:tmpl w:val="0532AB5A"/>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6B44500C"/>
    <w:multiLevelType w:val="hybridMultilevel"/>
    <w:tmpl w:val="2C9E2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2A09A2"/>
    <w:multiLevelType w:val="multilevel"/>
    <w:tmpl w:val="8DA6A942"/>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6E91075A"/>
    <w:multiLevelType w:val="hybridMultilevel"/>
    <w:tmpl w:val="5E8C9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97104E"/>
    <w:multiLevelType w:val="hybridMultilevel"/>
    <w:tmpl w:val="66A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96763A"/>
    <w:multiLevelType w:val="hybridMultilevel"/>
    <w:tmpl w:val="D0E46E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E375096"/>
    <w:multiLevelType w:val="hybridMultilevel"/>
    <w:tmpl w:val="BE9CF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24"/>
  </w:num>
  <w:num w:numId="4">
    <w:abstractNumId w:val="28"/>
  </w:num>
  <w:num w:numId="5">
    <w:abstractNumId w:val="6"/>
  </w:num>
  <w:num w:numId="6">
    <w:abstractNumId w:val="26"/>
  </w:num>
  <w:num w:numId="7">
    <w:abstractNumId w:val="18"/>
  </w:num>
  <w:num w:numId="8">
    <w:abstractNumId w:val="23"/>
  </w:num>
  <w:num w:numId="9">
    <w:abstractNumId w:val="30"/>
  </w:num>
  <w:num w:numId="10">
    <w:abstractNumId w:val="1"/>
  </w:num>
  <w:num w:numId="11">
    <w:abstractNumId w:val="22"/>
  </w:num>
  <w:num w:numId="12">
    <w:abstractNumId w:val="13"/>
  </w:num>
  <w:num w:numId="13">
    <w:abstractNumId w:val="17"/>
  </w:num>
  <w:num w:numId="14">
    <w:abstractNumId w:val="14"/>
  </w:num>
  <w:num w:numId="15">
    <w:abstractNumId w:val="16"/>
  </w:num>
  <w:num w:numId="16">
    <w:abstractNumId w:val="7"/>
  </w:num>
  <w:num w:numId="17">
    <w:abstractNumId w:val="8"/>
  </w:num>
  <w:num w:numId="18">
    <w:abstractNumId w:val="25"/>
  </w:num>
  <w:num w:numId="19">
    <w:abstractNumId w:val="4"/>
  </w:num>
  <w:num w:numId="20">
    <w:abstractNumId w:val="29"/>
  </w:num>
  <w:num w:numId="21">
    <w:abstractNumId w:val="27"/>
  </w:num>
  <w:num w:numId="22">
    <w:abstractNumId w:val="19"/>
  </w:num>
  <w:num w:numId="23">
    <w:abstractNumId w:val="10"/>
  </w:num>
  <w:num w:numId="24">
    <w:abstractNumId w:val="3"/>
  </w:num>
  <w:num w:numId="25">
    <w:abstractNumId w:val="12"/>
  </w:num>
  <w:num w:numId="26">
    <w:abstractNumId w:val="20"/>
  </w:num>
  <w:num w:numId="27">
    <w:abstractNumId w:val="21"/>
  </w:num>
  <w:num w:numId="28">
    <w:abstractNumId w:val="9"/>
  </w:num>
  <w:num w:numId="29">
    <w:abstractNumId w:val="15"/>
  </w:num>
  <w:num w:numId="30">
    <w:abstractNumId w:val="5"/>
  </w:num>
  <w:num w:numId="31">
    <w:abstractNumId w:val="0"/>
  </w:num>
  <w:num w:numId="32">
    <w:abstractNumId w:val="31"/>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C50"/>
    <w:rsid w:val="000367C3"/>
    <w:rsid w:val="000368B9"/>
    <w:rsid w:val="0005018A"/>
    <w:rsid w:val="00066137"/>
    <w:rsid w:val="0007733D"/>
    <w:rsid w:val="00077870"/>
    <w:rsid w:val="000A6CD9"/>
    <w:rsid w:val="000C3865"/>
    <w:rsid w:val="000F762B"/>
    <w:rsid w:val="001000DD"/>
    <w:rsid w:val="001008AD"/>
    <w:rsid w:val="0010546D"/>
    <w:rsid w:val="00122AA1"/>
    <w:rsid w:val="0012392A"/>
    <w:rsid w:val="00166FEB"/>
    <w:rsid w:val="00196217"/>
    <w:rsid w:val="001A2BA4"/>
    <w:rsid w:val="001C5F99"/>
    <w:rsid w:val="001D31C5"/>
    <w:rsid w:val="001F093C"/>
    <w:rsid w:val="00204EA6"/>
    <w:rsid w:val="00226561"/>
    <w:rsid w:val="00255136"/>
    <w:rsid w:val="00256283"/>
    <w:rsid w:val="002A7471"/>
    <w:rsid w:val="002E2075"/>
    <w:rsid w:val="002E3DD3"/>
    <w:rsid w:val="002F66E2"/>
    <w:rsid w:val="00312C50"/>
    <w:rsid w:val="003250F7"/>
    <w:rsid w:val="003323DA"/>
    <w:rsid w:val="00341A93"/>
    <w:rsid w:val="003465A2"/>
    <w:rsid w:val="00351D50"/>
    <w:rsid w:val="00373102"/>
    <w:rsid w:val="00375C96"/>
    <w:rsid w:val="00377CCB"/>
    <w:rsid w:val="003B1C40"/>
    <w:rsid w:val="003D52E6"/>
    <w:rsid w:val="003D5CE7"/>
    <w:rsid w:val="00401BEE"/>
    <w:rsid w:val="004124B4"/>
    <w:rsid w:val="00450594"/>
    <w:rsid w:val="004643CB"/>
    <w:rsid w:val="004720C9"/>
    <w:rsid w:val="004A3838"/>
    <w:rsid w:val="004B4D51"/>
    <w:rsid w:val="004C5DF7"/>
    <w:rsid w:val="004C740E"/>
    <w:rsid w:val="004D0F52"/>
    <w:rsid w:val="004F3865"/>
    <w:rsid w:val="004F3C65"/>
    <w:rsid w:val="005151C4"/>
    <w:rsid w:val="005328D1"/>
    <w:rsid w:val="0054237E"/>
    <w:rsid w:val="00572DC4"/>
    <w:rsid w:val="005F5BFF"/>
    <w:rsid w:val="005F617D"/>
    <w:rsid w:val="0060302E"/>
    <w:rsid w:val="00603FC3"/>
    <w:rsid w:val="006133FF"/>
    <w:rsid w:val="006262B9"/>
    <w:rsid w:val="00651F14"/>
    <w:rsid w:val="00652642"/>
    <w:rsid w:val="00664176"/>
    <w:rsid w:val="006B3466"/>
    <w:rsid w:val="006B6F74"/>
    <w:rsid w:val="006B7BD1"/>
    <w:rsid w:val="006D7BA7"/>
    <w:rsid w:val="006E589C"/>
    <w:rsid w:val="006E5B6C"/>
    <w:rsid w:val="00717220"/>
    <w:rsid w:val="007369B8"/>
    <w:rsid w:val="007723FB"/>
    <w:rsid w:val="00792234"/>
    <w:rsid w:val="00792A67"/>
    <w:rsid w:val="007B04C0"/>
    <w:rsid w:val="007B1995"/>
    <w:rsid w:val="00811223"/>
    <w:rsid w:val="00822276"/>
    <w:rsid w:val="0082692D"/>
    <w:rsid w:val="008315F1"/>
    <w:rsid w:val="00843F11"/>
    <w:rsid w:val="00845B03"/>
    <w:rsid w:val="00850C21"/>
    <w:rsid w:val="008F273F"/>
    <w:rsid w:val="008F472A"/>
    <w:rsid w:val="009127EC"/>
    <w:rsid w:val="009218EA"/>
    <w:rsid w:val="009362CB"/>
    <w:rsid w:val="00941795"/>
    <w:rsid w:val="00945C69"/>
    <w:rsid w:val="009666C4"/>
    <w:rsid w:val="00970470"/>
    <w:rsid w:val="00996488"/>
    <w:rsid w:val="009968A1"/>
    <w:rsid w:val="009B6030"/>
    <w:rsid w:val="009D020D"/>
    <w:rsid w:val="009D03DC"/>
    <w:rsid w:val="009F36E3"/>
    <w:rsid w:val="009F4EE7"/>
    <w:rsid w:val="00A97352"/>
    <w:rsid w:val="00AA005C"/>
    <w:rsid w:val="00AB16D0"/>
    <w:rsid w:val="00AC1394"/>
    <w:rsid w:val="00AD4C30"/>
    <w:rsid w:val="00AE533F"/>
    <w:rsid w:val="00B114D1"/>
    <w:rsid w:val="00B120C0"/>
    <w:rsid w:val="00B16942"/>
    <w:rsid w:val="00B2592B"/>
    <w:rsid w:val="00B45D97"/>
    <w:rsid w:val="00B736FF"/>
    <w:rsid w:val="00BA2324"/>
    <w:rsid w:val="00BD29F2"/>
    <w:rsid w:val="00BD477F"/>
    <w:rsid w:val="00BD6535"/>
    <w:rsid w:val="00BE38D9"/>
    <w:rsid w:val="00C308AF"/>
    <w:rsid w:val="00C70FC6"/>
    <w:rsid w:val="00C72A78"/>
    <w:rsid w:val="00C8586A"/>
    <w:rsid w:val="00C91F12"/>
    <w:rsid w:val="00C94001"/>
    <w:rsid w:val="00CF578F"/>
    <w:rsid w:val="00D06802"/>
    <w:rsid w:val="00D11E7A"/>
    <w:rsid w:val="00D239EE"/>
    <w:rsid w:val="00D41C18"/>
    <w:rsid w:val="00D42DF2"/>
    <w:rsid w:val="00D530E8"/>
    <w:rsid w:val="00D57FF3"/>
    <w:rsid w:val="00D80364"/>
    <w:rsid w:val="00DA526D"/>
    <w:rsid w:val="00DB7D75"/>
    <w:rsid w:val="00DF4BEB"/>
    <w:rsid w:val="00DF5028"/>
    <w:rsid w:val="00E06CC5"/>
    <w:rsid w:val="00E97261"/>
    <w:rsid w:val="00EC61FE"/>
    <w:rsid w:val="00ED3696"/>
    <w:rsid w:val="00EE61CE"/>
    <w:rsid w:val="00EF6FA2"/>
    <w:rsid w:val="00F13747"/>
    <w:rsid w:val="00F30C8B"/>
    <w:rsid w:val="00F564A7"/>
    <w:rsid w:val="00F56CCA"/>
    <w:rsid w:val="00F62155"/>
    <w:rsid w:val="00F648AC"/>
    <w:rsid w:val="00F85737"/>
    <w:rsid w:val="00F908AB"/>
    <w:rsid w:val="00F95822"/>
    <w:rsid w:val="00FB55D6"/>
    <w:rsid w:val="00FC1E1B"/>
    <w:rsid w:val="00FD1AA6"/>
    <w:rsid w:val="00FD5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E37C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0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72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D9C647E071ED4D9B7D0BA81432F5C2" ma:contentTypeVersion="17" ma:contentTypeDescription="Create a new document." ma:contentTypeScope="" ma:versionID="48b29fa8638abee717d1fdd10b1328d1">
  <xsd:schema xmlns:xsd="http://www.w3.org/2001/XMLSchema" xmlns:xs="http://www.w3.org/2001/XMLSchema" xmlns:p="http://schemas.microsoft.com/office/2006/metadata/properties" xmlns:ns2="070f71ce-64c7-4b17-bb6b-21ebf0c68387" xmlns:ns3="8c49430d-f190-4cd8-83c3-84bb6a3d29af" targetNamespace="http://schemas.microsoft.com/office/2006/metadata/properties" ma:root="true" ma:fieldsID="e44dfcf108e842c73ed980802cedbc8a" ns2:_="" ns3:_="">
    <xsd:import namespace="070f71ce-64c7-4b17-bb6b-21ebf0c68387"/>
    <xsd:import namespace="8c49430d-f190-4cd8-83c3-84bb6a3d29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Completed"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0f71ce-64c7-4b17-bb6b-21ebf0c683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Completed" ma:index="17" nillable="true" ma:displayName="Completed" ma:default="0" ma:format="Dropdown" ma:internalName="Completed">
      <xsd:simpleType>
        <xsd:restriction base="dms:Boolea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72bb472-3a9c-4f56-9e6f-fdae2be011a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Notes" ma:index="24"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49430d-f190-4cd8-83c3-84bb6a3d29a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199d808-df6e-4fcd-b362-d9c1aab5c644}" ma:internalName="TaxCatchAll" ma:showField="CatchAllData" ma:web="8c49430d-f190-4cd8-83c3-84bb6a3d29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pleted xmlns="070f71ce-64c7-4b17-bb6b-21ebf0c68387">false</Completed>
    <Notes xmlns="070f71ce-64c7-4b17-bb6b-21ebf0c68387" xsi:nil="true"/>
    <TaxCatchAll xmlns="8c49430d-f190-4cd8-83c3-84bb6a3d29af" xsi:nil="true"/>
    <lcf76f155ced4ddcb4097134ff3c332f xmlns="070f71ce-64c7-4b17-bb6b-21ebf0c683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3E532B-B490-4098-9E12-04E42D9ECA89}"/>
</file>

<file path=customXml/itemProps2.xml><?xml version="1.0" encoding="utf-8"?>
<ds:datastoreItem xmlns:ds="http://schemas.openxmlformats.org/officeDocument/2006/customXml" ds:itemID="{CF15E1ED-3B29-4163-8EEB-5818F9CC5513}"/>
</file>

<file path=customXml/itemProps3.xml><?xml version="1.0" encoding="utf-8"?>
<ds:datastoreItem xmlns:ds="http://schemas.openxmlformats.org/officeDocument/2006/customXml" ds:itemID="{AFA635C3-AB59-47C7-BA15-1E28D88AA6E6}"/>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St Mary's Catholic School</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McKeating</dc:creator>
  <cp:keywords/>
  <dc:description/>
  <cp:lastModifiedBy>Rutherford, Sara</cp:lastModifiedBy>
  <cp:revision>2</cp:revision>
  <cp:lastPrinted>2019-11-03T11:53:00Z</cp:lastPrinted>
  <dcterms:created xsi:type="dcterms:W3CDTF">2021-08-30T10:48:00Z</dcterms:created>
  <dcterms:modified xsi:type="dcterms:W3CDTF">2021-08-30T10:48:00Z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0x0101001ED9C647E071ED4D9B7D0BA81432F5C2</vt:lpwstr>
  </property>
</Properties>
</file>