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3D52E6" w:rsidRDefault="009218EA">
      <w:pPr>
        <w:rPr>
          <w:b/>
          <w:lang w:val="en-GB"/>
        </w:rPr>
      </w:pPr>
      <w:r w:rsidRPr="003D52E6">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3D52E6">
        <w:rPr>
          <w:b/>
          <w:lang w:val="en-GB"/>
        </w:rPr>
        <w:t>St Mary’s Catholic School</w:t>
      </w:r>
    </w:p>
    <w:p w14:paraId="55E6A78B" w14:textId="36BDF499" w:rsidR="00341A93" w:rsidRPr="003D52E6" w:rsidRDefault="007B1995">
      <w:pPr>
        <w:rPr>
          <w:lang w:val="en-GB"/>
        </w:rPr>
      </w:pPr>
      <w:r w:rsidRPr="003D52E6">
        <w:rPr>
          <w:lang w:val="en-GB"/>
        </w:rPr>
        <w:t>Department</w:t>
      </w:r>
      <w:r w:rsidR="00341A93" w:rsidRPr="003D52E6">
        <w:rPr>
          <w:lang w:val="en-GB"/>
        </w:rPr>
        <w:t xml:space="preserve"> Curriculum Planning</w:t>
      </w:r>
    </w:p>
    <w:p w14:paraId="3B5CEA64" w14:textId="78533232" w:rsidR="00D57FF3" w:rsidRPr="003D52E6" w:rsidRDefault="009218EA">
      <w:pPr>
        <w:rPr>
          <w:lang w:val="en-GB"/>
        </w:rPr>
      </w:pPr>
      <w:r w:rsidRPr="003D52E6">
        <w:rPr>
          <w:lang w:val="en-GB"/>
        </w:rPr>
        <w:t>Department</w:t>
      </w:r>
      <w:r w:rsidR="00AB16D0" w:rsidRPr="003D52E6">
        <w:rPr>
          <w:lang w:val="en-GB"/>
        </w:rPr>
        <w:t xml:space="preserve">: </w:t>
      </w:r>
      <w:r w:rsidR="00A97352" w:rsidRPr="003D52E6">
        <w:rPr>
          <w:lang w:val="en-GB"/>
        </w:rPr>
        <w:t>Children’s Play, Learning and Development (CPLD)</w:t>
      </w:r>
    </w:p>
    <w:p w14:paraId="0C62E66C" w14:textId="77777777" w:rsidR="007723FB" w:rsidRPr="003D52E6" w:rsidRDefault="007723FB">
      <w:pPr>
        <w:rPr>
          <w:lang w:val="en-GB"/>
        </w:rPr>
      </w:pPr>
    </w:p>
    <w:p w14:paraId="2C4D949B" w14:textId="6EF27AA6" w:rsidR="00D06802" w:rsidRPr="003D52E6" w:rsidRDefault="00312C50">
      <w:pPr>
        <w:rPr>
          <w:lang w:val="en-GB"/>
        </w:rPr>
      </w:pPr>
      <w:r w:rsidRPr="003D52E6">
        <w:rPr>
          <w:lang w:val="en-GB"/>
        </w:rPr>
        <w:t>Year Group</w:t>
      </w:r>
      <w:r w:rsidR="009218EA" w:rsidRPr="003D52E6">
        <w:rPr>
          <w:lang w:val="en-GB"/>
        </w:rPr>
        <w:t xml:space="preserve">: </w:t>
      </w:r>
      <w:r w:rsidR="00FF1D99">
        <w:rPr>
          <w:lang w:val="en-GB"/>
        </w:rPr>
        <w:t>12</w:t>
      </w:r>
    </w:p>
    <w:p w14:paraId="374AD201" w14:textId="77777777" w:rsidR="00312C50" w:rsidRPr="003D52E6" w:rsidRDefault="00312C50">
      <w:pPr>
        <w:rPr>
          <w:lang w:val="en-GB"/>
        </w:rPr>
      </w:pPr>
    </w:p>
    <w:p w14:paraId="4C674615" w14:textId="348A993D" w:rsidR="00312C50" w:rsidRPr="003D52E6" w:rsidRDefault="00F95822">
      <w:pPr>
        <w:rPr>
          <w:b/>
          <w:color w:val="7030A0"/>
          <w:lang w:val="en-GB"/>
        </w:rPr>
      </w:pPr>
      <w:r w:rsidRPr="003D52E6">
        <w:rPr>
          <w:lang w:val="en-GB"/>
        </w:rPr>
        <w:t>This is the plan for the taught curriculum during a</w:t>
      </w:r>
      <w:r w:rsidR="00AB16D0" w:rsidRPr="003D52E6">
        <w:rPr>
          <w:lang w:val="en-GB"/>
        </w:rPr>
        <w:t>chievement</w:t>
      </w:r>
      <w:r w:rsidRPr="003D52E6">
        <w:rPr>
          <w:lang w:val="en-GB"/>
        </w:rPr>
        <w:t xml:space="preserve"> period</w:t>
      </w:r>
      <w:r w:rsidR="00B7152E">
        <w:rPr>
          <w:lang w:val="en-GB"/>
        </w:rPr>
        <w:t xml:space="preserve"> 3</w:t>
      </w:r>
      <w:r w:rsidR="009D03DC" w:rsidRPr="003D52E6">
        <w:rPr>
          <w:lang w:val="en-GB"/>
        </w:rPr>
        <w:t>.</w:t>
      </w:r>
    </w:p>
    <w:p w14:paraId="30F865AD" w14:textId="77777777" w:rsidR="00AA005C" w:rsidRPr="003D52E6" w:rsidRDefault="00AA005C">
      <w:pPr>
        <w:rPr>
          <w:lang w:val="en-GB"/>
        </w:rPr>
      </w:pPr>
    </w:p>
    <w:tbl>
      <w:tblPr>
        <w:tblStyle w:val="TableGrid"/>
        <w:tblW w:w="10632" w:type="dxa"/>
        <w:tblInd w:w="-147" w:type="dxa"/>
        <w:tblLook w:val="04A0" w:firstRow="1" w:lastRow="0" w:firstColumn="1" w:lastColumn="0" w:noHBand="0" w:noVBand="1"/>
      </w:tblPr>
      <w:tblGrid>
        <w:gridCol w:w="10632"/>
      </w:tblGrid>
      <w:tr w:rsidR="00AA005C" w:rsidRPr="003D52E6" w14:paraId="69A11376" w14:textId="77777777" w:rsidTr="00D57FF3">
        <w:tc>
          <w:tcPr>
            <w:tcW w:w="10632" w:type="dxa"/>
            <w:shd w:val="clear" w:color="auto" w:fill="E2EFD9" w:themeFill="accent6" w:themeFillTint="33"/>
          </w:tcPr>
          <w:p w14:paraId="446173B7" w14:textId="7016F072" w:rsidR="00AA005C" w:rsidRPr="003D52E6" w:rsidRDefault="007B1995" w:rsidP="00717220">
            <w:pPr>
              <w:tabs>
                <w:tab w:val="right" w:pos="8794"/>
              </w:tabs>
              <w:rPr>
                <w:b/>
                <w:lang w:val="en-GB"/>
              </w:rPr>
            </w:pPr>
            <w:r w:rsidRPr="003D52E6">
              <w:rPr>
                <w:b/>
                <w:lang w:val="en-GB"/>
              </w:rPr>
              <w:t>B</w:t>
            </w:r>
            <w:r w:rsidR="00AA005C" w:rsidRPr="003D52E6">
              <w:rPr>
                <w:b/>
                <w:lang w:val="en-GB"/>
              </w:rPr>
              <w:t>rief summary of the topic/work being covered during this period</w:t>
            </w:r>
            <w:r w:rsidR="00717220" w:rsidRPr="003D52E6">
              <w:rPr>
                <w:b/>
                <w:lang w:val="en-GB"/>
              </w:rPr>
              <w:tab/>
            </w:r>
          </w:p>
        </w:tc>
      </w:tr>
      <w:tr w:rsidR="008315F1" w:rsidRPr="003D52E6" w14:paraId="4BF128E6" w14:textId="77777777" w:rsidTr="00D57FF3">
        <w:tc>
          <w:tcPr>
            <w:tcW w:w="10632" w:type="dxa"/>
          </w:tcPr>
          <w:p w14:paraId="27E86A2C" w14:textId="51FBF838" w:rsidR="004720C9" w:rsidRPr="003D52E6" w:rsidRDefault="004720C9" w:rsidP="004F3C65">
            <w:pPr>
              <w:jc w:val="both"/>
              <w:rPr>
                <w:b/>
                <w:lang w:val="en-GB"/>
              </w:rPr>
            </w:pPr>
          </w:p>
          <w:p w14:paraId="4E103F3F" w14:textId="119232E8" w:rsidR="006B3466" w:rsidRPr="003D52E6" w:rsidRDefault="006B3466" w:rsidP="006B3466">
            <w:pPr>
              <w:jc w:val="both"/>
            </w:pPr>
          </w:p>
          <w:p w14:paraId="71A61BA2" w14:textId="36E81C14" w:rsidR="0077730C" w:rsidRDefault="0077730C" w:rsidP="0077730C">
            <w:pPr>
              <w:jc w:val="both"/>
              <w:rPr>
                <w:b/>
              </w:rPr>
            </w:pPr>
            <w:r>
              <w:rPr>
                <w:b/>
              </w:rPr>
              <w:t>Unit 1 Exam Unit :</w:t>
            </w:r>
          </w:p>
          <w:p w14:paraId="0DC658D0" w14:textId="6FF8C370" w:rsidR="00B7152E" w:rsidRPr="00B7152E" w:rsidRDefault="0077730C" w:rsidP="00B7152E">
            <w:pPr>
              <w:pStyle w:val="ListParagraph"/>
              <w:numPr>
                <w:ilvl w:val="0"/>
                <w:numId w:val="34"/>
              </w:numPr>
              <w:jc w:val="both"/>
              <w:rPr>
                <w:b/>
              </w:rPr>
            </w:pPr>
            <w:r w:rsidRPr="0077730C">
              <w:t>Students are introduced</w:t>
            </w:r>
            <w:r w:rsidR="00B7152E">
              <w:t xml:space="preserve"> to theories of social and emotional development and explore indiscriminate, multiple and specific</w:t>
            </w:r>
            <w:r w:rsidR="00A45AAB">
              <w:t xml:space="preserve"> attach</w:t>
            </w:r>
            <w:r w:rsidR="00B7152E">
              <w:t>ments.</w:t>
            </w:r>
          </w:p>
          <w:p w14:paraId="5D440BD9" w14:textId="729BDFE2" w:rsidR="00B7152E" w:rsidRPr="00B7152E" w:rsidRDefault="00B7152E" w:rsidP="00B7152E">
            <w:pPr>
              <w:pStyle w:val="ListParagraph"/>
              <w:numPr>
                <w:ilvl w:val="0"/>
                <w:numId w:val="34"/>
              </w:numPr>
              <w:jc w:val="both"/>
              <w:rPr>
                <w:b/>
              </w:rPr>
            </w:pPr>
            <w:r>
              <w:t xml:space="preserve">They construct an understanding of </w:t>
            </w:r>
            <w:proofErr w:type="gramStart"/>
            <w:r>
              <w:t>stages of play, and how this supports social and emotional development</w:t>
            </w:r>
            <w:proofErr w:type="gramEnd"/>
            <w:r>
              <w:t>.</w:t>
            </w:r>
          </w:p>
          <w:p w14:paraId="106AF73F" w14:textId="10559FAF" w:rsidR="00B7152E" w:rsidRPr="00B7152E" w:rsidRDefault="00B7152E" w:rsidP="00B7152E">
            <w:pPr>
              <w:pStyle w:val="ListParagraph"/>
              <w:numPr>
                <w:ilvl w:val="0"/>
                <w:numId w:val="34"/>
              </w:numPr>
              <w:jc w:val="both"/>
              <w:rPr>
                <w:b/>
              </w:rPr>
            </w:pPr>
            <w:r>
              <w:t>They learn impact of social and emotional development on children’ overall development, considering self-concept, self-image and self-esteem.</w:t>
            </w:r>
          </w:p>
          <w:p w14:paraId="3FDBC661" w14:textId="1AC1A683" w:rsidR="00B7152E" w:rsidRPr="00A45AAB" w:rsidRDefault="00B7152E" w:rsidP="00B7152E">
            <w:pPr>
              <w:pStyle w:val="ListParagraph"/>
              <w:numPr>
                <w:ilvl w:val="0"/>
                <w:numId w:val="34"/>
              </w:numPr>
              <w:jc w:val="both"/>
              <w:rPr>
                <w:b/>
              </w:rPr>
            </w:pPr>
            <w:r>
              <w:t xml:space="preserve">They review the theories of moral and social development including the work of Skinner, Piaget, Bandura and Bowlby. </w:t>
            </w:r>
          </w:p>
          <w:p w14:paraId="121DB9D9" w14:textId="0B41EFEB" w:rsidR="00A45AAB" w:rsidRPr="00B7152E" w:rsidRDefault="00A45AAB" w:rsidP="00B7152E">
            <w:pPr>
              <w:pStyle w:val="ListParagraph"/>
              <w:numPr>
                <w:ilvl w:val="0"/>
                <w:numId w:val="34"/>
              </w:numPr>
              <w:jc w:val="both"/>
              <w:rPr>
                <w:b/>
              </w:rPr>
            </w:pPr>
            <w:r>
              <w:t xml:space="preserve">They </w:t>
            </w:r>
            <w:proofErr w:type="gramStart"/>
            <w:r>
              <w:t>are introduced</w:t>
            </w:r>
            <w:proofErr w:type="gramEnd"/>
            <w:r>
              <w:t xml:space="preserve"> to applying these theories to early years practice and how this can support children to form positive relationships whilst in the setting. </w:t>
            </w:r>
          </w:p>
          <w:p w14:paraId="58D05385" w14:textId="4B20EE08" w:rsidR="0077730C" w:rsidRDefault="0077730C" w:rsidP="0077730C">
            <w:pPr>
              <w:jc w:val="both"/>
              <w:rPr>
                <w:b/>
              </w:rPr>
            </w:pPr>
          </w:p>
          <w:p w14:paraId="49588525" w14:textId="63F8A6EB" w:rsidR="0077730C" w:rsidRDefault="0077730C" w:rsidP="0077730C">
            <w:pPr>
              <w:jc w:val="both"/>
              <w:rPr>
                <w:b/>
              </w:rPr>
            </w:pPr>
          </w:p>
          <w:p w14:paraId="55287457" w14:textId="057D089E" w:rsidR="0077730C" w:rsidRPr="003D52E6" w:rsidRDefault="0077730C" w:rsidP="0077730C">
            <w:pPr>
              <w:jc w:val="both"/>
            </w:pPr>
            <w:r>
              <w:rPr>
                <w:b/>
              </w:rPr>
              <w:t>Unit 2 Exam Unit:</w:t>
            </w:r>
          </w:p>
          <w:p w14:paraId="7ACABFFD" w14:textId="05F75BED" w:rsidR="006B3466" w:rsidRDefault="00A010AD" w:rsidP="00A97352">
            <w:pPr>
              <w:pStyle w:val="ListParagraph"/>
              <w:numPr>
                <w:ilvl w:val="0"/>
                <w:numId w:val="25"/>
              </w:numPr>
              <w:jc w:val="both"/>
            </w:pPr>
            <w:r>
              <w:t xml:space="preserve">Students explore how practitioners support multilingualism and how children learn more than one language. </w:t>
            </w:r>
            <w:r w:rsidR="0005502E">
              <w:t xml:space="preserve"> </w:t>
            </w:r>
          </w:p>
          <w:p w14:paraId="728EF022" w14:textId="335B071F" w:rsidR="0005502E" w:rsidRDefault="00475328" w:rsidP="00A97352">
            <w:pPr>
              <w:pStyle w:val="ListParagraph"/>
              <w:numPr>
                <w:ilvl w:val="0"/>
                <w:numId w:val="25"/>
              </w:numPr>
              <w:jc w:val="both"/>
            </w:pPr>
            <w:r>
              <w:t xml:space="preserve">They explore the importance of </w:t>
            </w:r>
            <w:proofErr w:type="gramStart"/>
            <w:r>
              <w:t xml:space="preserve">the key person and how they work with parents and </w:t>
            </w:r>
            <w:proofErr w:type="spellStart"/>
            <w:r>
              <w:t>carers</w:t>
            </w:r>
            <w:proofErr w:type="spellEnd"/>
            <w:r>
              <w:t xml:space="preserve"> in the development of language</w:t>
            </w:r>
            <w:proofErr w:type="gramEnd"/>
            <w:r>
              <w:t xml:space="preserve">. </w:t>
            </w:r>
          </w:p>
          <w:p w14:paraId="1E427056" w14:textId="53B8BCFC" w:rsidR="00CE6016" w:rsidRDefault="00CE6016" w:rsidP="00A97352">
            <w:pPr>
              <w:pStyle w:val="ListParagraph"/>
              <w:numPr>
                <w:ilvl w:val="0"/>
                <w:numId w:val="25"/>
              </w:numPr>
              <w:jc w:val="both"/>
            </w:pPr>
            <w:r>
              <w:t xml:space="preserve">They construct an understanding </w:t>
            </w:r>
            <w:r w:rsidR="00475328">
              <w:t xml:space="preserve">of how to support children with language delay or hearing loss, </w:t>
            </w:r>
            <w:proofErr w:type="spellStart"/>
            <w:r w:rsidR="00475328">
              <w:t>incluing</w:t>
            </w:r>
            <w:proofErr w:type="spellEnd"/>
            <w:r w:rsidR="00475328">
              <w:t xml:space="preserve"> resources and professionals that </w:t>
            </w:r>
            <w:proofErr w:type="gramStart"/>
            <w:r w:rsidR="00475328">
              <w:t>can be used</w:t>
            </w:r>
            <w:proofErr w:type="gramEnd"/>
            <w:r w:rsidR="00475328">
              <w:t xml:space="preserve">. </w:t>
            </w:r>
          </w:p>
          <w:p w14:paraId="6F70AB00" w14:textId="0FB4EFD2" w:rsidR="00CE6016" w:rsidRPr="003D52E6" w:rsidRDefault="00475328" w:rsidP="00A97352">
            <w:pPr>
              <w:pStyle w:val="ListParagraph"/>
              <w:numPr>
                <w:ilvl w:val="0"/>
                <w:numId w:val="25"/>
              </w:numPr>
              <w:jc w:val="both"/>
            </w:pPr>
            <w:r>
              <w:t xml:space="preserve">They develop expertise and knowledge of activities that </w:t>
            </w:r>
            <w:proofErr w:type="gramStart"/>
            <w:r>
              <w:t>can be used</w:t>
            </w:r>
            <w:proofErr w:type="gramEnd"/>
            <w:r>
              <w:t xml:space="preserve"> to support language development, producing activity plans and adapting the </w:t>
            </w:r>
            <w:proofErr w:type="spellStart"/>
            <w:r>
              <w:t>envirionment</w:t>
            </w:r>
            <w:proofErr w:type="spellEnd"/>
            <w:r>
              <w:t xml:space="preserve"> to suit their needs. </w:t>
            </w:r>
          </w:p>
          <w:p w14:paraId="5F2EBDBC" w14:textId="2695A982" w:rsidR="001D31C5" w:rsidRPr="003D52E6" w:rsidRDefault="001D31C5" w:rsidP="001D31C5">
            <w:pPr>
              <w:jc w:val="both"/>
              <w:rPr>
                <w:b/>
              </w:rPr>
            </w:pPr>
          </w:p>
          <w:p w14:paraId="1D0268A4" w14:textId="77777777" w:rsidR="003D5CE7" w:rsidRPr="003D52E6" w:rsidRDefault="003D5CE7" w:rsidP="00941795">
            <w:pPr>
              <w:jc w:val="both"/>
              <w:rPr>
                <w:lang w:val="en-GB"/>
              </w:rPr>
            </w:pPr>
          </w:p>
          <w:p w14:paraId="799C0CAC" w14:textId="77777777" w:rsidR="009D03DC" w:rsidRPr="003D52E6" w:rsidRDefault="009D03DC" w:rsidP="009D03DC">
            <w:pPr>
              <w:pStyle w:val="ListParagraph"/>
              <w:rPr>
                <w:b/>
                <w:lang w:val="en-GB"/>
              </w:rPr>
            </w:pPr>
          </w:p>
          <w:p w14:paraId="19C23ED5" w14:textId="0FB5D0F1" w:rsidR="009D03DC" w:rsidRPr="003D52E6" w:rsidRDefault="009D03DC" w:rsidP="009D03DC">
            <w:pPr>
              <w:jc w:val="both"/>
              <w:rPr>
                <w:b/>
                <w:lang w:val="en-GB"/>
              </w:rPr>
            </w:pPr>
          </w:p>
        </w:tc>
      </w:tr>
      <w:tr w:rsidR="007B1995" w:rsidRPr="003D52E6" w14:paraId="07B414B0" w14:textId="77777777" w:rsidTr="007B1995">
        <w:tc>
          <w:tcPr>
            <w:tcW w:w="10632" w:type="dxa"/>
            <w:shd w:val="clear" w:color="auto" w:fill="E2EFD9" w:themeFill="accent6" w:themeFillTint="33"/>
          </w:tcPr>
          <w:p w14:paraId="74FC2212" w14:textId="72A33205" w:rsidR="007B1995" w:rsidRPr="003D52E6" w:rsidRDefault="006E5B6C" w:rsidP="007B1995">
            <w:pPr>
              <w:jc w:val="both"/>
              <w:rPr>
                <w:lang w:val="en-GB"/>
              </w:rPr>
            </w:pPr>
            <w:r w:rsidRPr="003D52E6">
              <w:rPr>
                <w:b/>
                <w:lang w:val="en-GB"/>
              </w:rPr>
              <w:t>P</w:t>
            </w:r>
            <w:r w:rsidR="007B1995" w:rsidRPr="003D52E6">
              <w:rPr>
                <w:b/>
                <w:lang w:val="en-GB"/>
              </w:rPr>
              <w:t>rior knowledge needed for this unit/topic from previous teaching</w:t>
            </w:r>
          </w:p>
        </w:tc>
      </w:tr>
      <w:tr w:rsidR="007B1995" w:rsidRPr="003D52E6" w14:paraId="5B1F8AB2" w14:textId="77777777" w:rsidTr="00D57FF3">
        <w:tc>
          <w:tcPr>
            <w:tcW w:w="10632" w:type="dxa"/>
          </w:tcPr>
          <w:p w14:paraId="2A50D6DE" w14:textId="205098AF" w:rsidR="00ED3696" w:rsidRDefault="003249D5" w:rsidP="003249D5">
            <w:pPr>
              <w:rPr>
                <w:lang w:val="en-GB"/>
              </w:rPr>
            </w:pPr>
            <w:r>
              <w:rPr>
                <w:lang w:val="en-GB"/>
              </w:rPr>
              <w:t>No previous knowledge if n</w:t>
            </w:r>
            <w:r w:rsidR="00C1785F">
              <w:rPr>
                <w:lang w:val="en-GB"/>
              </w:rPr>
              <w:t xml:space="preserve">eeded for these units of study. </w:t>
            </w:r>
            <w:r>
              <w:rPr>
                <w:lang w:val="en-GB"/>
              </w:rPr>
              <w:t xml:space="preserve">Students will be able to draw upon their own experiences and examples provided in case studies. They will also be able to draw upon their experiences within their placements that will take place in November 2021. </w:t>
            </w:r>
          </w:p>
          <w:p w14:paraId="30878C56" w14:textId="0122ACEE" w:rsidR="003249D5" w:rsidRPr="003D52E6" w:rsidRDefault="003249D5" w:rsidP="003249D5">
            <w:pPr>
              <w:rPr>
                <w:b/>
                <w:lang w:val="en-GB"/>
              </w:rPr>
            </w:pPr>
          </w:p>
        </w:tc>
      </w:tr>
      <w:tr w:rsidR="00AA005C" w:rsidRPr="003D52E6" w14:paraId="079F81EC" w14:textId="77777777" w:rsidTr="00D57FF3">
        <w:tc>
          <w:tcPr>
            <w:tcW w:w="10632" w:type="dxa"/>
            <w:shd w:val="clear" w:color="auto" w:fill="E2EFD9" w:themeFill="accent6" w:themeFillTint="33"/>
          </w:tcPr>
          <w:p w14:paraId="7DBAF03E" w14:textId="26CF0E01" w:rsidR="00AA005C" w:rsidRPr="003D52E6" w:rsidRDefault="007B1995">
            <w:pPr>
              <w:rPr>
                <w:b/>
                <w:lang w:val="en-GB"/>
              </w:rPr>
            </w:pPr>
            <w:r w:rsidRPr="003D52E6">
              <w:rPr>
                <w:b/>
                <w:lang w:val="en-GB"/>
              </w:rPr>
              <w:t>R</w:t>
            </w:r>
            <w:r w:rsidR="00AA005C" w:rsidRPr="003D52E6">
              <w:rPr>
                <w:b/>
                <w:lang w:val="en-GB"/>
              </w:rPr>
              <w:t>ationale for students studying this unit/topic</w:t>
            </w:r>
            <w:r w:rsidRPr="003D52E6">
              <w:rPr>
                <w:b/>
                <w:lang w:val="en-GB"/>
              </w:rPr>
              <w:t xml:space="preserve"> </w:t>
            </w:r>
          </w:p>
        </w:tc>
      </w:tr>
      <w:tr w:rsidR="008315F1" w:rsidRPr="003D52E6" w14:paraId="5B871996" w14:textId="77777777" w:rsidTr="00D57FF3">
        <w:tc>
          <w:tcPr>
            <w:tcW w:w="10632" w:type="dxa"/>
          </w:tcPr>
          <w:p w14:paraId="207CCB31" w14:textId="6D9733F1" w:rsidR="007B1995" w:rsidRPr="003D52E6" w:rsidRDefault="00D42DF2" w:rsidP="007B1995">
            <w:pPr>
              <w:rPr>
                <w:b/>
                <w:lang w:val="en-GB"/>
              </w:rPr>
            </w:pPr>
            <w:r w:rsidRPr="003D52E6">
              <w:rPr>
                <w:b/>
                <w:lang w:val="en-GB"/>
              </w:rPr>
              <w:t>Rationale for studying these</w:t>
            </w:r>
            <w:r w:rsidR="007B1995" w:rsidRPr="003D52E6">
              <w:rPr>
                <w:b/>
                <w:lang w:val="en-GB"/>
              </w:rPr>
              <w:t xml:space="preserve"> topic</w:t>
            </w:r>
            <w:r w:rsidRPr="003D52E6">
              <w:rPr>
                <w:b/>
                <w:lang w:val="en-GB"/>
              </w:rPr>
              <w:t>s</w:t>
            </w:r>
          </w:p>
          <w:p w14:paraId="5FE61331" w14:textId="2DF25F9B" w:rsidR="00F13747" w:rsidRPr="003D52E6" w:rsidRDefault="00F13747" w:rsidP="007B1995">
            <w:pPr>
              <w:rPr>
                <w:lang w:val="en-GB"/>
              </w:rPr>
            </w:pPr>
          </w:p>
          <w:p w14:paraId="464A9B7E" w14:textId="748BB751" w:rsidR="009362CB" w:rsidRPr="003D52E6" w:rsidRDefault="003249D5" w:rsidP="007B1995">
            <w:pPr>
              <w:rPr>
                <w:lang w:val="en-GB"/>
              </w:rPr>
            </w:pPr>
            <w:r>
              <w:rPr>
                <w:lang w:val="en-GB"/>
              </w:rPr>
              <w:t xml:space="preserve">Unit 1 and 2 </w:t>
            </w:r>
            <w:r w:rsidR="00FD5D4F" w:rsidRPr="003D52E6">
              <w:rPr>
                <w:lang w:val="en-GB"/>
              </w:rPr>
              <w:t>a</w:t>
            </w:r>
            <w:r>
              <w:rPr>
                <w:lang w:val="en-GB"/>
              </w:rPr>
              <w:t>re</w:t>
            </w:r>
            <w:r w:rsidR="00FD5D4F" w:rsidRPr="003D52E6">
              <w:rPr>
                <w:lang w:val="en-GB"/>
              </w:rPr>
              <w:t xml:space="preserve"> mandatory and core unit</w:t>
            </w:r>
            <w:r>
              <w:rPr>
                <w:lang w:val="en-GB"/>
              </w:rPr>
              <w:t>s</w:t>
            </w:r>
            <w:r w:rsidR="00FD5D4F" w:rsidRPr="003D52E6">
              <w:rPr>
                <w:lang w:val="en-GB"/>
              </w:rPr>
              <w:t xml:space="preserve"> of the Extended Certificate </w:t>
            </w:r>
            <w:r>
              <w:rPr>
                <w:lang w:val="en-GB"/>
              </w:rPr>
              <w:t>in Children’s Play and Learning</w:t>
            </w:r>
            <w:r w:rsidR="00FD5D4F" w:rsidRPr="003D52E6">
              <w:rPr>
                <w:lang w:val="en-GB"/>
              </w:rPr>
              <w:t xml:space="preserve">. </w:t>
            </w:r>
            <w:r w:rsidR="009362CB" w:rsidRPr="003D52E6">
              <w:rPr>
                <w:lang w:val="en-GB"/>
              </w:rPr>
              <w:t xml:space="preserve"> </w:t>
            </w:r>
          </w:p>
          <w:p w14:paraId="3DA9DD71" w14:textId="32D37066" w:rsidR="003249D5" w:rsidRPr="003D52E6" w:rsidRDefault="003249D5" w:rsidP="007B1995">
            <w:pPr>
              <w:rPr>
                <w:lang w:val="en-GB"/>
              </w:rPr>
            </w:pPr>
            <w:r>
              <w:rPr>
                <w:lang w:val="en-GB"/>
              </w:rPr>
              <w:t xml:space="preserve">They are exam units that </w:t>
            </w:r>
            <w:proofErr w:type="gramStart"/>
            <w:r>
              <w:rPr>
                <w:lang w:val="en-GB"/>
              </w:rPr>
              <w:t>will be taught</w:t>
            </w:r>
            <w:proofErr w:type="gramEnd"/>
            <w:r>
              <w:rPr>
                <w:lang w:val="en-GB"/>
              </w:rPr>
              <w:t xml:space="preserve"> through the whole academic year and their summative exam will be held in May 2022. </w:t>
            </w:r>
          </w:p>
          <w:p w14:paraId="06425882" w14:textId="2F049C75" w:rsidR="004F3C65" w:rsidRDefault="004F3C65" w:rsidP="007B1995">
            <w:pPr>
              <w:jc w:val="both"/>
              <w:rPr>
                <w:b/>
                <w:bCs/>
                <w:lang w:val="en-GB"/>
              </w:rPr>
            </w:pPr>
          </w:p>
          <w:p w14:paraId="5EF2FC0F" w14:textId="2ABCB733" w:rsidR="003249D5" w:rsidRDefault="003249D5" w:rsidP="007B1995">
            <w:pPr>
              <w:jc w:val="both"/>
              <w:rPr>
                <w:b/>
                <w:bCs/>
                <w:lang w:val="en-GB"/>
              </w:rPr>
            </w:pPr>
          </w:p>
          <w:p w14:paraId="24CCDAA6" w14:textId="77777777" w:rsidR="003249D5" w:rsidRPr="003D52E6" w:rsidRDefault="003249D5" w:rsidP="007B1995">
            <w:pPr>
              <w:jc w:val="both"/>
              <w:rPr>
                <w:b/>
                <w:bCs/>
                <w:lang w:val="en-GB"/>
              </w:rPr>
            </w:pPr>
          </w:p>
          <w:p w14:paraId="40BA51EB" w14:textId="722E52A1" w:rsidR="004F3C65" w:rsidRPr="003D52E6" w:rsidRDefault="007B1995" w:rsidP="004F3C65">
            <w:pPr>
              <w:jc w:val="both"/>
              <w:rPr>
                <w:b/>
                <w:bCs/>
                <w:lang w:val="en-GB"/>
              </w:rPr>
            </w:pPr>
            <w:r w:rsidRPr="003D52E6">
              <w:rPr>
                <w:b/>
                <w:bCs/>
                <w:lang w:val="en-GB"/>
              </w:rPr>
              <w:lastRenderedPageBreak/>
              <w:t>Rationale for timing of this topic</w:t>
            </w:r>
          </w:p>
          <w:p w14:paraId="7624D602" w14:textId="7E32FDBD" w:rsidR="004C740E" w:rsidRPr="003D52E6" w:rsidRDefault="004C740E" w:rsidP="004F3C65">
            <w:pPr>
              <w:jc w:val="both"/>
              <w:rPr>
                <w:b/>
                <w:bCs/>
                <w:lang w:val="en-GB"/>
              </w:rPr>
            </w:pPr>
          </w:p>
          <w:p w14:paraId="45A4BF5A" w14:textId="2A688FAF" w:rsidR="00BD29F2" w:rsidRPr="003D52E6" w:rsidRDefault="003249D5" w:rsidP="00FD5D4F">
            <w:pPr>
              <w:jc w:val="both"/>
              <w:rPr>
                <w:bCs/>
                <w:lang w:val="en-GB"/>
              </w:rPr>
            </w:pPr>
            <w:r>
              <w:rPr>
                <w:bCs/>
                <w:lang w:val="en-GB"/>
              </w:rPr>
              <w:t xml:space="preserve">Both units are studied in Y12 this allows students the opportunity to re-sit exam in Y13 if needed. It also allows students to build a sound knowledge base to support their work placement experiences. </w:t>
            </w:r>
          </w:p>
          <w:p w14:paraId="3F3BBFD1" w14:textId="737BCA4D" w:rsidR="00BD29F2" w:rsidRPr="003D52E6" w:rsidRDefault="00BD29F2" w:rsidP="004F3C65">
            <w:pPr>
              <w:jc w:val="both"/>
              <w:rPr>
                <w:bCs/>
                <w:lang w:val="en-GB"/>
              </w:rPr>
            </w:pPr>
          </w:p>
          <w:p w14:paraId="27C56A2D" w14:textId="04E4761B" w:rsidR="00D57FF3" w:rsidRPr="003D52E6" w:rsidRDefault="00D57FF3" w:rsidP="004F3C65">
            <w:pPr>
              <w:jc w:val="both"/>
              <w:rPr>
                <w:bCs/>
                <w:lang w:val="en-GB"/>
              </w:rPr>
            </w:pPr>
          </w:p>
        </w:tc>
      </w:tr>
      <w:tr w:rsidR="00AA005C" w:rsidRPr="003D52E6" w14:paraId="6BD43A62" w14:textId="77777777" w:rsidTr="00D57FF3">
        <w:tc>
          <w:tcPr>
            <w:tcW w:w="10632" w:type="dxa"/>
            <w:shd w:val="clear" w:color="auto" w:fill="E2EFD9" w:themeFill="accent6" w:themeFillTint="33"/>
          </w:tcPr>
          <w:p w14:paraId="23E38E3B" w14:textId="7A3755DA" w:rsidR="00AA005C" w:rsidRPr="003D52E6" w:rsidRDefault="003B1C40">
            <w:pPr>
              <w:rPr>
                <w:b/>
                <w:lang w:val="en-GB"/>
              </w:rPr>
            </w:pPr>
            <w:r w:rsidRPr="003D52E6">
              <w:rPr>
                <w:b/>
                <w:lang w:val="en-GB"/>
              </w:rPr>
              <w:lastRenderedPageBreak/>
              <w:t>K</w:t>
            </w:r>
            <w:r w:rsidR="00AA005C" w:rsidRPr="003D52E6">
              <w:rPr>
                <w:b/>
                <w:lang w:val="en-GB"/>
              </w:rPr>
              <w:t>ey concepts/ideas that are taught to students in this unit/topic</w:t>
            </w:r>
            <w:r w:rsidR="007B1995" w:rsidRPr="003D52E6">
              <w:rPr>
                <w:b/>
                <w:lang w:val="en-GB"/>
              </w:rPr>
              <w:t xml:space="preserve">, including </w:t>
            </w:r>
            <w:r w:rsidRPr="003D52E6">
              <w:rPr>
                <w:b/>
                <w:lang w:val="en-GB"/>
              </w:rPr>
              <w:t>a</w:t>
            </w:r>
            <w:r w:rsidR="007B1995" w:rsidRPr="003D52E6">
              <w:rPr>
                <w:b/>
                <w:lang w:val="en-GB"/>
              </w:rPr>
              <w:t xml:space="preserve">ny </w:t>
            </w:r>
            <w:r w:rsidR="00F56CCA" w:rsidRPr="003D52E6">
              <w:rPr>
                <w:b/>
                <w:lang w:val="en-GB"/>
              </w:rPr>
              <w:t xml:space="preserve">anticipated gaps in </w:t>
            </w:r>
            <w:r w:rsidR="007B1995" w:rsidRPr="003D52E6">
              <w:rPr>
                <w:b/>
                <w:lang w:val="en-GB"/>
              </w:rPr>
              <w:t>knowledge</w:t>
            </w:r>
            <w:r w:rsidR="00F56CCA" w:rsidRPr="003D52E6">
              <w:rPr>
                <w:b/>
                <w:lang w:val="en-GB"/>
              </w:rPr>
              <w:t xml:space="preserve"> </w:t>
            </w:r>
            <w:r w:rsidRPr="003D52E6">
              <w:rPr>
                <w:b/>
                <w:lang w:val="en-GB"/>
              </w:rPr>
              <w:t xml:space="preserve">and </w:t>
            </w:r>
            <w:r w:rsidR="007B1995" w:rsidRPr="003D52E6">
              <w:rPr>
                <w:b/>
                <w:lang w:val="en-GB"/>
              </w:rPr>
              <w:t>plan</w:t>
            </w:r>
            <w:r w:rsidR="00F56CCA" w:rsidRPr="003D52E6">
              <w:rPr>
                <w:b/>
                <w:lang w:val="en-GB"/>
              </w:rPr>
              <w:t xml:space="preserve"> to overcome</w:t>
            </w:r>
            <w:r w:rsidR="007B1995" w:rsidRPr="003D52E6">
              <w:rPr>
                <w:b/>
                <w:lang w:val="en-GB"/>
              </w:rPr>
              <w:t xml:space="preserve"> these</w:t>
            </w:r>
          </w:p>
        </w:tc>
      </w:tr>
      <w:tr w:rsidR="008315F1" w:rsidRPr="003D52E6" w14:paraId="70E88F15" w14:textId="77777777" w:rsidTr="00D57FF3">
        <w:tc>
          <w:tcPr>
            <w:tcW w:w="10632" w:type="dxa"/>
          </w:tcPr>
          <w:p w14:paraId="68E76F66" w14:textId="77777777" w:rsidR="009362CB" w:rsidRPr="003D52E6" w:rsidRDefault="009362CB" w:rsidP="009362CB">
            <w:pPr>
              <w:pStyle w:val="ListParagraph"/>
              <w:jc w:val="both"/>
              <w:rPr>
                <w:lang w:val="en-GB"/>
              </w:rPr>
            </w:pPr>
          </w:p>
          <w:p w14:paraId="416F1F3A" w14:textId="4872D58B" w:rsidR="00D37E4F" w:rsidRDefault="00D37E4F" w:rsidP="009362CB">
            <w:pPr>
              <w:pStyle w:val="ListParagraph"/>
              <w:jc w:val="both"/>
              <w:rPr>
                <w:b/>
                <w:lang w:val="en-GB"/>
              </w:rPr>
            </w:pPr>
            <w:r>
              <w:rPr>
                <w:b/>
                <w:lang w:val="en-GB"/>
              </w:rPr>
              <w:t>Unit 1</w:t>
            </w:r>
          </w:p>
          <w:p w14:paraId="78771CD2" w14:textId="77777777" w:rsidR="00D37E4F" w:rsidRDefault="00D37E4F" w:rsidP="009362CB">
            <w:pPr>
              <w:pStyle w:val="ListParagraph"/>
              <w:jc w:val="both"/>
              <w:rPr>
                <w:b/>
                <w:lang w:val="en-GB"/>
              </w:rPr>
            </w:pPr>
          </w:p>
          <w:p w14:paraId="0C9990A4" w14:textId="435D32DD" w:rsidR="00D37E4F" w:rsidRPr="003D52E6" w:rsidRDefault="00D37E4F" w:rsidP="00D37E4F">
            <w:pPr>
              <w:pStyle w:val="ListParagraph"/>
              <w:numPr>
                <w:ilvl w:val="0"/>
                <w:numId w:val="33"/>
              </w:numPr>
              <w:jc w:val="both"/>
            </w:pPr>
            <w:r>
              <w:t xml:space="preserve">Define the meaning of </w:t>
            </w:r>
            <w:r w:rsidR="00A45AAB">
              <w:t xml:space="preserve">indiscriminate, multiple and specific </w:t>
            </w:r>
            <w:r w:rsidR="006B40E8">
              <w:t>attachments</w:t>
            </w:r>
            <w:r w:rsidR="00A45AAB">
              <w:t>.</w:t>
            </w:r>
          </w:p>
          <w:p w14:paraId="7A4E89DD" w14:textId="24A47118" w:rsidR="00D37E4F" w:rsidRPr="003D52E6" w:rsidRDefault="00D37E4F" w:rsidP="00D37E4F">
            <w:pPr>
              <w:pStyle w:val="ListParagraph"/>
              <w:numPr>
                <w:ilvl w:val="0"/>
                <w:numId w:val="33"/>
              </w:numPr>
              <w:jc w:val="both"/>
            </w:pPr>
            <w:r>
              <w:t xml:space="preserve">Explore </w:t>
            </w:r>
            <w:r w:rsidR="00A45AAB">
              <w:t xml:space="preserve">examples of types of play and activities within an early years setting that can </w:t>
            </w:r>
            <w:proofErr w:type="gramStart"/>
            <w:r w:rsidR="00A45AAB">
              <w:t>support  social</w:t>
            </w:r>
            <w:proofErr w:type="gramEnd"/>
            <w:r w:rsidR="00A45AAB">
              <w:t xml:space="preserve"> and emotional development, considering co-operative play, onlooker play and parallel play.</w:t>
            </w:r>
          </w:p>
          <w:p w14:paraId="320BDC85" w14:textId="3BDBEF04" w:rsidR="00D37E4F" w:rsidRDefault="00D37E4F" w:rsidP="00D37E4F">
            <w:pPr>
              <w:pStyle w:val="ListParagraph"/>
              <w:numPr>
                <w:ilvl w:val="0"/>
                <w:numId w:val="33"/>
              </w:numPr>
              <w:jc w:val="both"/>
            </w:pPr>
            <w:r>
              <w:t>Stude</w:t>
            </w:r>
            <w:r w:rsidR="00A45AAB">
              <w:t xml:space="preserve">nts will be able to summarise moral development in children, reviewing the various stages of pre-moral, moral realism and moral relativism that they go through. </w:t>
            </w:r>
          </w:p>
          <w:p w14:paraId="4A01D6F8" w14:textId="2CF2E3E2" w:rsidR="00D37E4F" w:rsidRPr="00D37E4F" w:rsidRDefault="00D37E4F" w:rsidP="00A45AAB">
            <w:pPr>
              <w:pStyle w:val="ListParagraph"/>
              <w:numPr>
                <w:ilvl w:val="0"/>
                <w:numId w:val="33"/>
              </w:numPr>
              <w:jc w:val="both"/>
              <w:rPr>
                <w:b/>
                <w:lang w:val="en-GB"/>
              </w:rPr>
            </w:pPr>
            <w:r>
              <w:t xml:space="preserve">They will explore </w:t>
            </w:r>
            <w:r w:rsidR="00A45AAB">
              <w:t xml:space="preserve">the work of </w:t>
            </w:r>
            <w:proofErr w:type="gramStart"/>
            <w:r w:rsidR="00A45AAB">
              <w:t xml:space="preserve">Skinner, Bandura, Bowlby and Ainsworth in relation to the child’s social development and how staff can use </w:t>
            </w:r>
            <w:proofErr w:type="spellStart"/>
            <w:r w:rsidR="00A45AAB">
              <w:t>reinforcers</w:t>
            </w:r>
            <w:proofErr w:type="spellEnd"/>
            <w:r w:rsidR="00A45AAB">
              <w:t>, conditioning</w:t>
            </w:r>
            <w:r w:rsidR="00A010AD">
              <w:t xml:space="preserve"> and motivation to support attachments within the setting</w:t>
            </w:r>
            <w:proofErr w:type="gramEnd"/>
            <w:r w:rsidR="00A010AD">
              <w:t>.</w:t>
            </w:r>
            <w:r w:rsidR="00A45AAB">
              <w:t xml:space="preserve"> </w:t>
            </w:r>
          </w:p>
          <w:p w14:paraId="0C087F4C" w14:textId="77777777" w:rsidR="00D37E4F" w:rsidRDefault="00D37E4F" w:rsidP="009362CB">
            <w:pPr>
              <w:pStyle w:val="ListParagraph"/>
              <w:jc w:val="both"/>
              <w:rPr>
                <w:b/>
                <w:lang w:val="en-GB"/>
              </w:rPr>
            </w:pPr>
          </w:p>
          <w:p w14:paraId="32F9205B" w14:textId="188B5820" w:rsidR="009362CB" w:rsidRDefault="00D37E4F" w:rsidP="009362CB">
            <w:pPr>
              <w:pStyle w:val="ListParagraph"/>
              <w:jc w:val="both"/>
              <w:rPr>
                <w:b/>
                <w:lang w:val="en-GB"/>
              </w:rPr>
            </w:pPr>
            <w:r>
              <w:rPr>
                <w:b/>
                <w:lang w:val="en-GB"/>
              </w:rPr>
              <w:t>Unit 2</w:t>
            </w:r>
          </w:p>
          <w:p w14:paraId="34C085A3" w14:textId="7076EFDB" w:rsidR="00CE6016" w:rsidRPr="00CE6016" w:rsidRDefault="006B40E8" w:rsidP="00CE6016">
            <w:pPr>
              <w:pStyle w:val="ListParagraph"/>
              <w:numPr>
                <w:ilvl w:val="0"/>
                <w:numId w:val="33"/>
              </w:numPr>
              <w:jc w:val="both"/>
              <w:rPr>
                <w:b/>
                <w:lang w:val="en-GB"/>
              </w:rPr>
            </w:pPr>
            <w:r>
              <w:rPr>
                <w:lang w:val="en-GB"/>
              </w:rPr>
              <w:t xml:space="preserve">Describe the four stages of language development, use of home language, silent period, telegraphic speech and productive language.  </w:t>
            </w:r>
          </w:p>
          <w:p w14:paraId="1043344E" w14:textId="734FF704" w:rsidR="00CE6016" w:rsidRPr="006B40E8" w:rsidRDefault="00CE6016" w:rsidP="00CE6016">
            <w:pPr>
              <w:pStyle w:val="ListParagraph"/>
              <w:numPr>
                <w:ilvl w:val="0"/>
                <w:numId w:val="33"/>
              </w:numPr>
              <w:jc w:val="both"/>
              <w:rPr>
                <w:b/>
                <w:lang w:val="en-GB"/>
              </w:rPr>
            </w:pPr>
            <w:r>
              <w:rPr>
                <w:lang w:val="en-GB"/>
              </w:rPr>
              <w:t xml:space="preserve">Explore the </w:t>
            </w:r>
            <w:r w:rsidR="006B40E8">
              <w:rPr>
                <w:lang w:val="en-GB"/>
              </w:rPr>
              <w:t xml:space="preserve">emotional impact on the child who does not speak English as a first language. </w:t>
            </w:r>
          </w:p>
          <w:p w14:paraId="5DC43D47" w14:textId="111B0852" w:rsidR="006B40E8" w:rsidRPr="00CE6016" w:rsidRDefault="006B40E8" w:rsidP="00CE6016">
            <w:pPr>
              <w:pStyle w:val="ListParagraph"/>
              <w:numPr>
                <w:ilvl w:val="0"/>
                <w:numId w:val="33"/>
              </w:numPr>
              <w:jc w:val="both"/>
              <w:rPr>
                <w:b/>
                <w:lang w:val="en-GB"/>
              </w:rPr>
            </w:pPr>
            <w:r>
              <w:rPr>
                <w:lang w:val="en-GB"/>
              </w:rPr>
              <w:t xml:space="preserve">Research the role of the key person when working with parents and carers to support children who have more than one language, to support consistency and implement strategies to support the child and their family. </w:t>
            </w:r>
          </w:p>
          <w:p w14:paraId="3EE753B3" w14:textId="0F8C61E1" w:rsidR="00CE6016" w:rsidRPr="003249D5" w:rsidRDefault="00CE6016" w:rsidP="00CE6016">
            <w:pPr>
              <w:pStyle w:val="ListParagraph"/>
              <w:numPr>
                <w:ilvl w:val="0"/>
                <w:numId w:val="33"/>
              </w:numPr>
              <w:jc w:val="both"/>
              <w:rPr>
                <w:b/>
                <w:lang w:val="en-GB"/>
              </w:rPr>
            </w:pPr>
            <w:r>
              <w:rPr>
                <w:lang w:val="en-GB"/>
              </w:rPr>
              <w:t xml:space="preserve">Students will produce activity plans that support </w:t>
            </w:r>
            <w:r w:rsidR="003249D5">
              <w:rPr>
                <w:lang w:val="en-GB"/>
              </w:rPr>
              <w:t xml:space="preserve">children to develop reading, </w:t>
            </w:r>
            <w:r>
              <w:rPr>
                <w:lang w:val="en-GB"/>
              </w:rPr>
              <w:t>writing skills</w:t>
            </w:r>
            <w:r w:rsidR="003249D5">
              <w:rPr>
                <w:lang w:val="en-GB"/>
              </w:rPr>
              <w:t xml:space="preserve"> and numeracy skills</w:t>
            </w:r>
            <w:r w:rsidR="006B40E8">
              <w:rPr>
                <w:lang w:val="en-GB"/>
              </w:rPr>
              <w:t xml:space="preserve"> who are multi-lingual</w:t>
            </w:r>
            <w:r w:rsidR="003249D5">
              <w:rPr>
                <w:lang w:val="en-GB"/>
              </w:rPr>
              <w:t xml:space="preserve">. </w:t>
            </w:r>
          </w:p>
          <w:p w14:paraId="74740539" w14:textId="5B4235E6" w:rsidR="006B40E8" w:rsidRDefault="003249D5" w:rsidP="006B40E8">
            <w:pPr>
              <w:pStyle w:val="ListParagraph"/>
              <w:numPr>
                <w:ilvl w:val="0"/>
                <w:numId w:val="33"/>
              </w:numPr>
              <w:jc w:val="both"/>
              <w:rPr>
                <w:lang w:val="en-GB"/>
              </w:rPr>
            </w:pPr>
            <w:r>
              <w:rPr>
                <w:lang w:val="en-GB"/>
              </w:rPr>
              <w:t>Students will write about key principles of</w:t>
            </w:r>
            <w:r w:rsidR="00A44777">
              <w:rPr>
                <w:lang w:val="en-GB"/>
              </w:rPr>
              <w:t xml:space="preserve"> support staff and how they can support children’s speech, language and communication skills. </w:t>
            </w:r>
          </w:p>
          <w:p w14:paraId="32A7955B" w14:textId="17D04A1F" w:rsidR="003249D5" w:rsidRPr="00A44777" w:rsidRDefault="003249D5" w:rsidP="00A44777">
            <w:pPr>
              <w:ind w:left="360"/>
              <w:jc w:val="both"/>
              <w:rPr>
                <w:b/>
                <w:lang w:val="en-GB"/>
              </w:rPr>
            </w:pPr>
          </w:p>
          <w:p w14:paraId="2186EAC5" w14:textId="77777777" w:rsidR="00D37E4F" w:rsidRPr="003D52E6" w:rsidRDefault="00D37E4F" w:rsidP="009362CB">
            <w:pPr>
              <w:pStyle w:val="ListParagraph"/>
              <w:jc w:val="both"/>
              <w:rPr>
                <w:b/>
                <w:lang w:val="en-GB"/>
              </w:rPr>
            </w:pPr>
          </w:p>
          <w:p w14:paraId="51566B2A" w14:textId="77777777" w:rsidR="004B4D51" w:rsidRPr="003D52E6" w:rsidRDefault="004B4D51" w:rsidP="004B4D51">
            <w:pPr>
              <w:jc w:val="both"/>
              <w:rPr>
                <w:lang w:val="en-GB"/>
              </w:rPr>
            </w:pPr>
          </w:p>
          <w:p w14:paraId="6784E8EC" w14:textId="5FDD8C26" w:rsidR="004B4D51" w:rsidRPr="003D52E6" w:rsidRDefault="004B4D51" w:rsidP="004B4D51">
            <w:pPr>
              <w:jc w:val="both"/>
              <w:rPr>
                <w:lang w:val="en-GB"/>
              </w:rPr>
            </w:pPr>
          </w:p>
        </w:tc>
      </w:tr>
      <w:tr w:rsidR="00AA005C" w:rsidRPr="003D52E6" w14:paraId="5B2CDDBC" w14:textId="77777777" w:rsidTr="00D57FF3">
        <w:tc>
          <w:tcPr>
            <w:tcW w:w="10632" w:type="dxa"/>
            <w:shd w:val="clear" w:color="auto" w:fill="E2EFD9" w:themeFill="accent6" w:themeFillTint="33"/>
          </w:tcPr>
          <w:p w14:paraId="24C6014E" w14:textId="31085703" w:rsidR="00AA005C" w:rsidRPr="003D52E6" w:rsidRDefault="003B1C40">
            <w:pPr>
              <w:rPr>
                <w:b/>
                <w:lang w:val="en-GB"/>
              </w:rPr>
            </w:pPr>
            <w:r w:rsidRPr="003D52E6">
              <w:rPr>
                <w:b/>
                <w:lang w:val="en-GB"/>
              </w:rPr>
              <w:t>New</w:t>
            </w:r>
            <w:r w:rsidR="004124B4" w:rsidRPr="003D52E6">
              <w:rPr>
                <w:b/>
                <w:lang w:val="en-GB"/>
              </w:rPr>
              <w:t xml:space="preserve"> </w:t>
            </w:r>
            <w:r w:rsidR="00AA005C" w:rsidRPr="003D52E6">
              <w:rPr>
                <w:b/>
                <w:lang w:val="en-GB"/>
              </w:rPr>
              <w:t xml:space="preserve">key terminology </w:t>
            </w:r>
            <w:r w:rsidRPr="003D52E6">
              <w:rPr>
                <w:b/>
                <w:lang w:val="en-GB"/>
              </w:rPr>
              <w:t>s</w:t>
            </w:r>
            <w:r w:rsidR="00AA005C" w:rsidRPr="003D52E6">
              <w:rPr>
                <w:b/>
                <w:lang w:val="en-GB"/>
              </w:rPr>
              <w:t xml:space="preserve">tudents </w:t>
            </w:r>
            <w:r w:rsidRPr="003D52E6">
              <w:rPr>
                <w:b/>
                <w:lang w:val="en-GB"/>
              </w:rPr>
              <w:t xml:space="preserve">will be </w:t>
            </w:r>
            <w:r w:rsidR="00AA005C" w:rsidRPr="003D52E6">
              <w:rPr>
                <w:b/>
                <w:lang w:val="en-GB"/>
              </w:rPr>
              <w:t>taught during this topic/unit</w:t>
            </w:r>
          </w:p>
        </w:tc>
      </w:tr>
      <w:tr w:rsidR="008315F1" w:rsidRPr="003D52E6" w14:paraId="09BEEACA" w14:textId="77777777" w:rsidTr="007B04C0">
        <w:trPr>
          <w:trHeight w:val="640"/>
        </w:trPr>
        <w:tc>
          <w:tcPr>
            <w:tcW w:w="10632" w:type="dxa"/>
          </w:tcPr>
          <w:p w14:paraId="0D8F55A8" w14:textId="1F4C04DE" w:rsidR="00651F14" w:rsidRPr="003D52E6" w:rsidRDefault="00651F14" w:rsidP="00843F11">
            <w:pPr>
              <w:rPr>
                <w:lang w:val="en-GB"/>
              </w:rPr>
            </w:pPr>
          </w:p>
          <w:p w14:paraId="14FC286E" w14:textId="77777777" w:rsidR="00A010AD" w:rsidRDefault="003249D5" w:rsidP="00843F11">
            <w:pPr>
              <w:rPr>
                <w:b/>
                <w:lang w:val="en-GB"/>
              </w:rPr>
            </w:pPr>
            <w:r w:rsidRPr="00C1785F">
              <w:rPr>
                <w:b/>
                <w:lang w:val="en-GB"/>
              </w:rPr>
              <w:t>Unit 1</w:t>
            </w:r>
          </w:p>
          <w:p w14:paraId="367ABCB8" w14:textId="3CE99332" w:rsidR="00A010AD" w:rsidRDefault="00A010AD" w:rsidP="00843F11">
            <w:pPr>
              <w:rPr>
                <w:lang w:val="en-GB"/>
              </w:rPr>
            </w:pPr>
            <w:r>
              <w:rPr>
                <w:lang w:val="en-GB"/>
              </w:rPr>
              <w:t xml:space="preserve">Attachments, cooperative play, onlooker play, parallel play, </w:t>
            </w:r>
            <w:proofErr w:type="spellStart"/>
            <w:r>
              <w:rPr>
                <w:lang w:val="en-GB"/>
              </w:rPr>
              <w:t>reinforcers</w:t>
            </w:r>
            <w:proofErr w:type="spellEnd"/>
            <w:r>
              <w:rPr>
                <w:lang w:val="en-GB"/>
              </w:rPr>
              <w:t xml:space="preserve">, conditioning, self-efficacy, separation anxiety, ecological systems, Bowlby, Bronfenbrenner, Bandura, Skinner’s Theories. </w:t>
            </w:r>
          </w:p>
          <w:p w14:paraId="67C0AC92" w14:textId="77777777" w:rsidR="00A010AD" w:rsidRPr="00A010AD" w:rsidRDefault="00A010AD" w:rsidP="00843F11">
            <w:pPr>
              <w:rPr>
                <w:lang w:val="en-GB"/>
              </w:rPr>
            </w:pPr>
          </w:p>
          <w:p w14:paraId="48D96ECA" w14:textId="4F02B8DC" w:rsidR="003249D5" w:rsidRPr="00C1785F" w:rsidRDefault="003249D5" w:rsidP="00843F11">
            <w:pPr>
              <w:rPr>
                <w:b/>
                <w:lang w:val="en-GB"/>
              </w:rPr>
            </w:pPr>
            <w:r w:rsidRPr="00C1785F">
              <w:rPr>
                <w:b/>
                <w:lang w:val="en-GB"/>
              </w:rPr>
              <w:t>Unit 2</w:t>
            </w:r>
          </w:p>
          <w:p w14:paraId="4A43E66F" w14:textId="0D5A7F0F" w:rsidR="00C1785F" w:rsidRDefault="00A44777" w:rsidP="00843F11">
            <w:pPr>
              <w:rPr>
                <w:lang w:val="en-GB"/>
              </w:rPr>
            </w:pPr>
            <w:r>
              <w:rPr>
                <w:lang w:val="en-GB"/>
              </w:rPr>
              <w:t xml:space="preserve">Silent phase, telegraphic speech, productive language, regression, quality interaction, Speech and Language therapist, Educational Psychologist, Hearing support services, Portage worker, occupational therapist. </w:t>
            </w:r>
          </w:p>
          <w:p w14:paraId="7134982D" w14:textId="1199803D" w:rsidR="003249D5" w:rsidRPr="003D52E6" w:rsidRDefault="003249D5" w:rsidP="00843F11">
            <w:pPr>
              <w:rPr>
                <w:lang w:val="en-GB"/>
              </w:rPr>
            </w:pPr>
          </w:p>
        </w:tc>
      </w:tr>
      <w:tr w:rsidR="00717220" w:rsidRPr="003D52E6" w14:paraId="0BD4097E" w14:textId="77777777" w:rsidTr="00D57FF3">
        <w:tc>
          <w:tcPr>
            <w:tcW w:w="10632" w:type="dxa"/>
            <w:shd w:val="clear" w:color="auto" w:fill="E2EFD9" w:themeFill="accent6" w:themeFillTint="33"/>
          </w:tcPr>
          <w:p w14:paraId="7C420558" w14:textId="71D83BBA" w:rsidR="00717220" w:rsidRPr="003D52E6" w:rsidRDefault="003B1C40">
            <w:pPr>
              <w:rPr>
                <w:b/>
                <w:lang w:val="en-GB"/>
              </w:rPr>
            </w:pPr>
            <w:r w:rsidRPr="003D52E6">
              <w:rPr>
                <w:b/>
                <w:lang w:val="en-GB"/>
              </w:rPr>
              <w:t xml:space="preserve">Plan for Assessment </w:t>
            </w:r>
          </w:p>
        </w:tc>
      </w:tr>
      <w:tr w:rsidR="00717220" w:rsidRPr="003D52E6" w14:paraId="56B7F9FC" w14:textId="77777777" w:rsidTr="00D57FF3">
        <w:tc>
          <w:tcPr>
            <w:tcW w:w="10632" w:type="dxa"/>
          </w:tcPr>
          <w:p w14:paraId="03C48B17" w14:textId="77777777" w:rsidR="00C1785F" w:rsidRDefault="00C1785F" w:rsidP="004F3C65">
            <w:pPr>
              <w:jc w:val="both"/>
              <w:rPr>
                <w:b/>
                <w:lang w:val="en-GB"/>
              </w:rPr>
            </w:pPr>
          </w:p>
          <w:p w14:paraId="70F374F9" w14:textId="1FB8ED94" w:rsidR="003D52E6" w:rsidRDefault="00C1785F" w:rsidP="00C1785F">
            <w:pPr>
              <w:jc w:val="both"/>
              <w:rPr>
                <w:b/>
                <w:lang w:val="en-GB"/>
              </w:rPr>
            </w:pPr>
            <w:r>
              <w:rPr>
                <w:b/>
                <w:lang w:val="en-GB"/>
              </w:rPr>
              <w:t xml:space="preserve">Unit </w:t>
            </w:r>
            <w:r w:rsidR="003D52E6" w:rsidRPr="003D52E6">
              <w:rPr>
                <w:b/>
                <w:lang w:val="en-GB"/>
              </w:rPr>
              <w:t>1</w:t>
            </w:r>
            <w:r>
              <w:rPr>
                <w:b/>
                <w:lang w:val="en-GB"/>
              </w:rPr>
              <w:t xml:space="preserve"> &amp; 2</w:t>
            </w:r>
          </w:p>
          <w:p w14:paraId="08462E14" w14:textId="77777777" w:rsidR="00A44777" w:rsidRPr="007B04C0" w:rsidRDefault="00A44777" w:rsidP="00A44777">
            <w:pPr>
              <w:pStyle w:val="ListParagraph"/>
              <w:numPr>
                <w:ilvl w:val="0"/>
                <w:numId w:val="11"/>
              </w:numPr>
              <w:jc w:val="both"/>
              <w:rPr>
                <w:b/>
                <w:sz w:val="21"/>
                <w:szCs w:val="21"/>
                <w:lang w:val="en-GB"/>
              </w:rPr>
            </w:pPr>
            <w:bookmarkStart w:id="0" w:name="_GoBack"/>
            <w:r w:rsidRPr="007B04C0">
              <w:rPr>
                <w:sz w:val="21"/>
                <w:szCs w:val="21"/>
                <w:lang w:val="en-GB"/>
              </w:rPr>
              <w:t>Informal assessment is ongoing through homework, classwork, contributions to class discussion/group work.</w:t>
            </w:r>
          </w:p>
          <w:p w14:paraId="0762734F" w14:textId="10DC05F3" w:rsidR="00A44777" w:rsidRPr="0097512A" w:rsidRDefault="00A44777" w:rsidP="00A44777">
            <w:pPr>
              <w:pStyle w:val="ListParagraph"/>
              <w:numPr>
                <w:ilvl w:val="0"/>
                <w:numId w:val="11"/>
              </w:numPr>
              <w:jc w:val="both"/>
              <w:rPr>
                <w:b/>
                <w:sz w:val="21"/>
                <w:szCs w:val="21"/>
                <w:lang w:val="en-GB"/>
              </w:rPr>
            </w:pPr>
            <w:r>
              <w:rPr>
                <w:sz w:val="21"/>
                <w:szCs w:val="21"/>
                <w:lang w:val="en-GB"/>
              </w:rPr>
              <w:t>Formal assessmen</w:t>
            </w:r>
            <w:r>
              <w:rPr>
                <w:sz w:val="21"/>
                <w:szCs w:val="21"/>
                <w:lang w:val="en-GB"/>
              </w:rPr>
              <w:t xml:space="preserve">t – students complete two formal </w:t>
            </w:r>
            <w:r>
              <w:rPr>
                <w:sz w:val="21"/>
                <w:szCs w:val="21"/>
                <w:lang w:val="en-GB"/>
              </w:rPr>
              <w:t>assessment</w:t>
            </w:r>
            <w:r>
              <w:rPr>
                <w:sz w:val="21"/>
                <w:szCs w:val="21"/>
                <w:lang w:val="en-GB"/>
              </w:rPr>
              <w:t>s</w:t>
            </w:r>
            <w:r>
              <w:rPr>
                <w:sz w:val="21"/>
                <w:szCs w:val="21"/>
                <w:lang w:val="en-GB"/>
              </w:rPr>
              <w:t xml:space="preserve"> in this unit</w:t>
            </w:r>
            <w:r>
              <w:rPr>
                <w:sz w:val="21"/>
                <w:szCs w:val="21"/>
                <w:lang w:val="en-GB"/>
              </w:rPr>
              <w:t xml:space="preserve"> before their exam in May 2021</w:t>
            </w:r>
            <w:r>
              <w:rPr>
                <w:sz w:val="21"/>
                <w:szCs w:val="21"/>
                <w:lang w:val="en-GB"/>
              </w:rPr>
              <w:t xml:space="preserve">. </w:t>
            </w:r>
          </w:p>
          <w:bookmarkEnd w:id="0"/>
          <w:p w14:paraId="21B3EBBA" w14:textId="2C3385A2" w:rsidR="00C1785F" w:rsidRPr="003D52E6" w:rsidRDefault="00C1785F" w:rsidP="00C1785F">
            <w:pPr>
              <w:jc w:val="both"/>
              <w:rPr>
                <w:b/>
                <w:lang w:val="en-GB"/>
              </w:rPr>
            </w:pPr>
          </w:p>
          <w:p w14:paraId="5C3307BE" w14:textId="77777777" w:rsidR="004F3C65" w:rsidRPr="003D52E6" w:rsidRDefault="004F3C65" w:rsidP="004F3C65">
            <w:pPr>
              <w:jc w:val="both"/>
              <w:rPr>
                <w:b/>
                <w:lang w:val="en-GB"/>
              </w:rPr>
            </w:pPr>
          </w:p>
          <w:p w14:paraId="04233BC0" w14:textId="34AFED65" w:rsidR="004F3C65" w:rsidRPr="003D52E6" w:rsidRDefault="004F3C65" w:rsidP="004F3C65">
            <w:pPr>
              <w:jc w:val="both"/>
              <w:rPr>
                <w:b/>
                <w:lang w:val="en-GB"/>
              </w:rPr>
            </w:pPr>
          </w:p>
        </w:tc>
      </w:tr>
    </w:tbl>
    <w:p w14:paraId="1CE33F4D" w14:textId="0A74C09C" w:rsidR="00F95822" w:rsidRPr="003D52E6" w:rsidRDefault="00F95822">
      <w:pPr>
        <w:rPr>
          <w:lang w:val="en-GB"/>
        </w:rPr>
      </w:pPr>
    </w:p>
    <w:p w14:paraId="3C0DD892" w14:textId="7A3A1FD8" w:rsidR="007B1995" w:rsidRPr="003D52E6" w:rsidRDefault="007B1995">
      <w:pPr>
        <w:rPr>
          <w:lang w:val="en-GB"/>
        </w:rPr>
      </w:pPr>
    </w:p>
    <w:p w14:paraId="22E49443" w14:textId="36188C4E" w:rsidR="007B1995" w:rsidRPr="003D52E6" w:rsidRDefault="007B1995">
      <w:pPr>
        <w:rPr>
          <w:lang w:val="en-GB"/>
        </w:rPr>
      </w:pPr>
    </w:p>
    <w:p w14:paraId="6542BD36" w14:textId="56608F34" w:rsidR="00312C50" w:rsidRPr="003D52E6" w:rsidRDefault="00312C50">
      <w:pPr>
        <w:rPr>
          <w:lang w:val="en-GB"/>
        </w:rPr>
      </w:pPr>
    </w:p>
    <w:sectPr w:rsidR="00312C50" w:rsidRPr="003D52E6"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E7F"/>
    <w:multiLevelType w:val="hybridMultilevel"/>
    <w:tmpl w:val="FD6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3B31"/>
    <w:multiLevelType w:val="hybridMultilevel"/>
    <w:tmpl w:val="1822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65504"/>
    <w:multiLevelType w:val="hybridMultilevel"/>
    <w:tmpl w:val="CCAE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F377F"/>
    <w:multiLevelType w:val="hybridMultilevel"/>
    <w:tmpl w:val="A9BE5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F71B7"/>
    <w:multiLevelType w:val="hybridMultilevel"/>
    <w:tmpl w:val="B988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8059A"/>
    <w:multiLevelType w:val="hybridMultilevel"/>
    <w:tmpl w:val="2A44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2F33"/>
    <w:multiLevelType w:val="hybridMultilevel"/>
    <w:tmpl w:val="FB20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D183D"/>
    <w:multiLevelType w:val="hybridMultilevel"/>
    <w:tmpl w:val="2DF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126E3"/>
    <w:multiLevelType w:val="hybridMultilevel"/>
    <w:tmpl w:val="15C6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B5D62A2"/>
    <w:multiLevelType w:val="hybridMultilevel"/>
    <w:tmpl w:val="5C940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322EC"/>
    <w:multiLevelType w:val="hybridMultilevel"/>
    <w:tmpl w:val="DBEC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73D7F"/>
    <w:multiLevelType w:val="hybridMultilevel"/>
    <w:tmpl w:val="CB6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33C4C63"/>
    <w:multiLevelType w:val="hybridMultilevel"/>
    <w:tmpl w:val="6DC2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44500C"/>
    <w:multiLevelType w:val="hybridMultilevel"/>
    <w:tmpl w:val="2C9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E91075A"/>
    <w:multiLevelType w:val="hybridMultilevel"/>
    <w:tmpl w:val="5E8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6763A"/>
    <w:multiLevelType w:val="hybridMultilevel"/>
    <w:tmpl w:val="D0E46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375096"/>
    <w:multiLevelType w:val="hybridMultilevel"/>
    <w:tmpl w:val="233E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29"/>
  </w:num>
  <w:num w:numId="5">
    <w:abstractNumId w:val="6"/>
  </w:num>
  <w:num w:numId="6">
    <w:abstractNumId w:val="27"/>
  </w:num>
  <w:num w:numId="7">
    <w:abstractNumId w:val="19"/>
  </w:num>
  <w:num w:numId="8">
    <w:abstractNumId w:val="24"/>
  </w:num>
  <w:num w:numId="9">
    <w:abstractNumId w:val="31"/>
  </w:num>
  <w:num w:numId="10">
    <w:abstractNumId w:val="1"/>
  </w:num>
  <w:num w:numId="11">
    <w:abstractNumId w:val="23"/>
  </w:num>
  <w:num w:numId="12">
    <w:abstractNumId w:val="14"/>
  </w:num>
  <w:num w:numId="13">
    <w:abstractNumId w:val="18"/>
  </w:num>
  <w:num w:numId="14">
    <w:abstractNumId w:val="15"/>
  </w:num>
  <w:num w:numId="15">
    <w:abstractNumId w:val="17"/>
  </w:num>
  <w:num w:numId="16">
    <w:abstractNumId w:val="7"/>
  </w:num>
  <w:num w:numId="17">
    <w:abstractNumId w:val="8"/>
  </w:num>
  <w:num w:numId="18">
    <w:abstractNumId w:val="26"/>
  </w:num>
  <w:num w:numId="19">
    <w:abstractNumId w:val="4"/>
  </w:num>
  <w:num w:numId="20">
    <w:abstractNumId w:val="30"/>
  </w:num>
  <w:num w:numId="21">
    <w:abstractNumId w:val="28"/>
  </w:num>
  <w:num w:numId="22">
    <w:abstractNumId w:val="20"/>
  </w:num>
  <w:num w:numId="23">
    <w:abstractNumId w:val="11"/>
  </w:num>
  <w:num w:numId="24">
    <w:abstractNumId w:val="3"/>
  </w:num>
  <w:num w:numId="25">
    <w:abstractNumId w:val="13"/>
  </w:num>
  <w:num w:numId="26">
    <w:abstractNumId w:val="21"/>
  </w:num>
  <w:num w:numId="27">
    <w:abstractNumId w:val="22"/>
  </w:num>
  <w:num w:numId="28">
    <w:abstractNumId w:val="10"/>
  </w:num>
  <w:num w:numId="29">
    <w:abstractNumId w:val="16"/>
  </w:num>
  <w:num w:numId="30">
    <w:abstractNumId w:val="5"/>
  </w:num>
  <w:num w:numId="31">
    <w:abstractNumId w:val="0"/>
  </w:num>
  <w:num w:numId="32">
    <w:abstractNumId w:val="32"/>
  </w:num>
  <w:num w:numId="33">
    <w:abstractNumId w:val="3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7C3"/>
    <w:rsid w:val="000368B9"/>
    <w:rsid w:val="0005018A"/>
    <w:rsid w:val="0005502E"/>
    <w:rsid w:val="00066137"/>
    <w:rsid w:val="0007733D"/>
    <w:rsid w:val="00077870"/>
    <w:rsid w:val="000A6CD9"/>
    <w:rsid w:val="000C3865"/>
    <w:rsid w:val="000F762B"/>
    <w:rsid w:val="001000DD"/>
    <w:rsid w:val="001008AD"/>
    <w:rsid w:val="00122AA1"/>
    <w:rsid w:val="0012392A"/>
    <w:rsid w:val="00166FEB"/>
    <w:rsid w:val="00196217"/>
    <w:rsid w:val="001A2BA4"/>
    <w:rsid w:val="001C5F99"/>
    <w:rsid w:val="001D31C5"/>
    <w:rsid w:val="001F093C"/>
    <w:rsid w:val="00204EA6"/>
    <w:rsid w:val="00226561"/>
    <w:rsid w:val="00255136"/>
    <w:rsid w:val="00256283"/>
    <w:rsid w:val="002A7471"/>
    <w:rsid w:val="002E2075"/>
    <w:rsid w:val="002E3DD3"/>
    <w:rsid w:val="002F66E2"/>
    <w:rsid w:val="00312C50"/>
    <w:rsid w:val="003249D5"/>
    <w:rsid w:val="003250F7"/>
    <w:rsid w:val="003323DA"/>
    <w:rsid w:val="00341A93"/>
    <w:rsid w:val="003465A2"/>
    <w:rsid w:val="00351D50"/>
    <w:rsid w:val="00373102"/>
    <w:rsid w:val="00375C96"/>
    <w:rsid w:val="003B1C40"/>
    <w:rsid w:val="003D52E6"/>
    <w:rsid w:val="003D5CE7"/>
    <w:rsid w:val="00401BEE"/>
    <w:rsid w:val="004124B4"/>
    <w:rsid w:val="004643CB"/>
    <w:rsid w:val="004720C9"/>
    <w:rsid w:val="00475328"/>
    <w:rsid w:val="004A3838"/>
    <w:rsid w:val="004B4D51"/>
    <w:rsid w:val="004C5DF7"/>
    <w:rsid w:val="004C740E"/>
    <w:rsid w:val="004D0F52"/>
    <w:rsid w:val="004F3865"/>
    <w:rsid w:val="004F3C65"/>
    <w:rsid w:val="005151C4"/>
    <w:rsid w:val="005328D1"/>
    <w:rsid w:val="0054237E"/>
    <w:rsid w:val="00572DC4"/>
    <w:rsid w:val="005F5BFF"/>
    <w:rsid w:val="005F617D"/>
    <w:rsid w:val="00603FC3"/>
    <w:rsid w:val="006133FF"/>
    <w:rsid w:val="006262B9"/>
    <w:rsid w:val="00651F14"/>
    <w:rsid w:val="00652642"/>
    <w:rsid w:val="00664176"/>
    <w:rsid w:val="006B3466"/>
    <w:rsid w:val="006B40E8"/>
    <w:rsid w:val="006B6F74"/>
    <w:rsid w:val="006B7BD1"/>
    <w:rsid w:val="006D7BA7"/>
    <w:rsid w:val="006E589C"/>
    <w:rsid w:val="006E5B6C"/>
    <w:rsid w:val="00717220"/>
    <w:rsid w:val="007369B8"/>
    <w:rsid w:val="007723FB"/>
    <w:rsid w:val="0077730C"/>
    <w:rsid w:val="00792234"/>
    <w:rsid w:val="00792A67"/>
    <w:rsid w:val="007B04C0"/>
    <w:rsid w:val="007B1995"/>
    <w:rsid w:val="00811223"/>
    <w:rsid w:val="00822276"/>
    <w:rsid w:val="0082692D"/>
    <w:rsid w:val="008315F1"/>
    <w:rsid w:val="00843F11"/>
    <w:rsid w:val="00845B03"/>
    <w:rsid w:val="00850C21"/>
    <w:rsid w:val="008F273F"/>
    <w:rsid w:val="008F472A"/>
    <w:rsid w:val="009127EC"/>
    <w:rsid w:val="009218EA"/>
    <w:rsid w:val="009362CB"/>
    <w:rsid w:val="00941795"/>
    <w:rsid w:val="00945C69"/>
    <w:rsid w:val="009666C4"/>
    <w:rsid w:val="00970470"/>
    <w:rsid w:val="00996488"/>
    <w:rsid w:val="009968A1"/>
    <w:rsid w:val="009D020D"/>
    <w:rsid w:val="009D03DC"/>
    <w:rsid w:val="009F36E3"/>
    <w:rsid w:val="009F4EE7"/>
    <w:rsid w:val="00A010AD"/>
    <w:rsid w:val="00A44777"/>
    <w:rsid w:val="00A45AAB"/>
    <w:rsid w:val="00A97352"/>
    <w:rsid w:val="00AA005C"/>
    <w:rsid w:val="00AA00D7"/>
    <w:rsid w:val="00AB16D0"/>
    <w:rsid w:val="00AC1394"/>
    <w:rsid w:val="00AD4C30"/>
    <w:rsid w:val="00AE533F"/>
    <w:rsid w:val="00B114D1"/>
    <w:rsid w:val="00B120C0"/>
    <w:rsid w:val="00B16942"/>
    <w:rsid w:val="00B2592B"/>
    <w:rsid w:val="00B45D97"/>
    <w:rsid w:val="00B7152E"/>
    <w:rsid w:val="00B736FF"/>
    <w:rsid w:val="00BA2324"/>
    <w:rsid w:val="00BD29F2"/>
    <w:rsid w:val="00BD477F"/>
    <w:rsid w:val="00BD6535"/>
    <w:rsid w:val="00BE38D9"/>
    <w:rsid w:val="00C1785F"/>
    <w:rsid w:val="00C308AF"/>
    <w:rsid w:val="00C70FC6"/>
    <w:rsid w:val="00C72A78"/>
    <w:rsid w:val="00C8586A"/>
    <w:rsid w:val="00C91F12"/>
    <w:rsid w:val="00C94001"/>
    <w:rsid w:val="00CE6016"/>
    <w:rsid w:val="00CF578F"/>
    <w:rsid w:val="00D06802"/>
    <w:rsid w:val="00D11E7A"/>
    <w:rsid w:val="00D239EE"/>
    <w:rsid w:val="00D37E4F"/>
    <w:rsid w:val="00D41C18"/>
    <w:rsid w:val="00D42DF2"/>
    <w:rsid w:val="00D530E8"/>
    <w:rsid w:val="00D57FF3"/>
    <w:rsid w:val="00D80364"/>
    <w:rsid w:val="00DA526D"/>
    <w:rsid w:val="00DB7D75"/>
    <w:rsid w:val="00DF4BEB"/>
    <w:rsid w:val="00DF5028"/>
    <w:rsid w:val="00E06CC5"/>
    <w:rsid w:val="00E97261"/>
    <w:rsid w:val="00EA2CF5"/>
    <w:rsid w:val="00EC61FE"/>
    <w:rsid w:val="00ED3696"/>
    <w:rsid w:val="00EE61CE"/>
    <w:rsid w:val="00EF6FA2"/>
    <w:rsid w:val="00F13747"/>
    <w:rsid w:val="00F30C8B"/>
    <w:rsid w:val="00F564A7"/>
    <w:rsid w:val="00F56CCA"/>
    <w:rsid w:val="00F62155"/>
    <w:rsid w:val="00F648AC"/>
    <w:rsid w:val="00F85737"/>
    <w:rsid w:val="00F908AB"/>
    <w:rsid w:val="00F95822"/>
    <w:rsid w:val="00FB55D6"/>
    <w:rsid w:val="00FC1E1B"/>
    <w:rsid w:val="00FD1AA6"/>
    <w:rsid w:val="00FD5D4F"/>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D89C7-DCD7-4405-9FC9-D33F194A7A7F}"/>
</file>

<file path=customXml/itemProps2.xml><?xml version="1.0" encoding="utf-8"?>
<ds:datastoreItem xmlns:ds="http://schemas.openxmlformats.org/officeDocument/2006/customXml" ds:itemID="{65577288-1D92-4B59-AEC5-58BC93826606}"/>
</file>

<file path=customXml/itemProps3.xml><?xml version="1.0" encoding="utf-8"?>
<ds:datastoreItem xmlns:ds="http://schemas.openxmlformats.org/officeDocument/2006/customXml" ds:itemID="{057635BE-2C63-4158-83CB-C4E380B59F1B}"/>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3</cp:revision>
  <cp:lastPrinted>2019-11-03T11:53:00Z</cp:lastPrinted>
  <dcterms:created xsi:type="dcterms:W3CDTF">2021-09-05T21:34:00Z</dcterms:created>
  <dcterms:modified xsi:type="dcterms:W3CDTF">2021-09-05T21:46:00Z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