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3D52E6" w:rsidRDefault="009218EA">
      <w:pPr>
        <w:rPr>
          <w:b/>
          <w:lang w:val="en-GB"/>
        </w:rPr>
      </w:pPr>
      <w:r w:rsidRPr="003D52E6">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3D52E6">
        <w:rPr>
          <w:b/>
          <w:lang w:val="en-GB"/>
        </w:rPr>
        <w:t>St Mary’s Catholic School</w:t>
      </w:r>
    </w:p>
    <w:p w14:paraId="55E6A78B" w14:textId="36BDF499" w:rsidR="00341A93" w:rsidRPr="003D52E6" w:rsidRDefault="007B1995">
      <w:pPr>
        <w:rPr>
          <w:lang w:val="en-GB"/>
        </w:rPr>
      </w:pPr>
      <w:r w:rsidRPr="003D52E6">
        <w:rPr>
          <w:lang w:val="en-GB"/>
        </w:rPr>
        <w:t>Department</w:t>
      </w:r>
      <w:r w:rsidR="00341A93" w:rsidRPr="003D52E6">
        <w:rPr>
          <w:lang w:val="en-GB"/>
        </w:rPr>
        <w:t xml:space="preserve"> Curriculum Planning</w:t>
      </w:r>
    </w:p>
    <w:p w14:paraId="3B5CEA64" w14:textId="78533232" w:rsidR="00D57FF3" w:rsidRPr="003D52E6" w:rsidRDefault="009218EA">
      <w:pPr>
        <w:rPr>
          <w:lang w:val="en-GB"/>
        </w:rPr>
      </w:pPr>
      <w:r w:rsidRPr="003D52E6">
        <w:rPr>
          <w:lang w:val="en-GB"/>
        </w:rPr>
        <w:t>Department</w:t>
      </w:r>
      <w:r w:rsidR="00AB16D0" w:rsidRPr="003D52E6">
        <w:rPr>
          <w:lang w:val="en-GB"/>
        </w:rPr>
        <w:t xml:space="preserve">: </w:t>
      </w:r>
      <w:r w:rsidR="00A97352" w:rsidRPr="003D52E6">
        <w:rPr>
          <w:lang w:val="en-GB"/>
        </w:rPr>
        <w:t>Children’s Play, Learning and Development (CPLD)</w:t>
      </w:r>
    </w:p>
    <w:p w14:paraId="0C62E66C" w14:textId="77777777" w:rsidR="007723FB" w:rsidRPr="003D52E6" w:rsidRDefault="007723FB">
      <w:pPr>
        <w:rPr>
          <w:lang w:val="en-GB"/>
        </w:rPr>
      </w:pPr>
    </w:p>
    <w:p w14:paraId="2C4D949B" w14:textId="6EF27AA6" w:rsidR="00D06802" w:rsidRPr="003D52E6" w:rsidRDefault="00312C50">
      <w:pPr>
        <w:rPr>
          <w:lang w:val="en-GB"/>
        </w:rPr>
      </w:pPr>
      <w:r w:rsidRPr="003D52E6">
        <w:rPr>
          <w:lang w:val="en-GB"/>
        </w:rPr>
        <w:t>Year Group</w:t>
      </w:r>
      <w:r w:rsidR="009218EA" w:rsidRPr="003D52E6">
        <w:rPr>
          <w:lang w:val="en-GB"/>
        </w:rPr>
        <w:t xml:space="preserve">: </w:t>
      </w:r>
      <w:r w:rsidR="00FF1D99">
        <w:rPr>
          <w:lang w:val="en-GB"/>
        </w:rPr>
        <w:t>12</w:t>
      </w:r>
    </w:p>
    <w:p w14:paraId="374AD201" w14:textId="77777777" w:rsidR="00312C50" w:rsidRPr="003D52E6" w:rsidRDefault="00312C50">
      <w:pPr>
        <w:rPr>
          <w:lang w:val="en-GB"/>
        </w:rPr>
      </w:pPr>
    </w:p>
    <w:p w14:paraId="4C674615" w14:textId="0B0572E7" w:rsidR="00312C50" w:rsidRPr="003D52E6" w:rsidRDefault="00F95822">
      <w:pPr>
        <w:rPr>
          <w:b/>
          <w:color w:val="7030A0"/>
          <w:lang w:val="en-GB"/>
        </w:rPr>
      </w:pPr>
      <w:r w:rsidRPr="003D52E6">
        <w:rPr>
          <w:lang w:val="en-GB"/>
        </w:rPr>
        <w:t>This is the plan for the taught curriculum during a</w:t>
      </w:r>
      <w:r w:rsidR="00AB16D0" w:rsidRPr="003D52E6">
        <w:rPr>
          <w:lang w:val="en-GB"/>
        </w:rPr>
        <w:t>chievement</w:t>
      </w:r>
      <w:r w:rsidRPr="003D52E6">
        <w:rPr>
          <w:lang w:val="en-GB"/>
        </w:rPr>
        <w:t xml:space="preserve"> period</w:t>
      </w:r>
      <w:r w:rsidR="00945C69" w:rsidRPr="003D52E6">
        <w:rPr>
          <w:lang w:val="en-GB"/>
        </w:rPr>
        <w:t xml:space="preserve"> 1</w:t>
      </w:r>
      <w:r w:rsidR="0077730C">
        <w:rPr>
          <w:lang w:val="en-GB"/>
        </w:rPr>
        <w:t xml:space="preserve"> &amp; 2</w:t>
      </w:r>
      <w:r w:rsidR="009D03DC" w:rsidRPr="003D52E6">
        <w:rPr>
          <w:lang w:val="en-GB"/>
        </w:rPr>
        <w:t>.</w:t>
      </w:r>
    </w:p>
    <w:p w14:paraId="30F865AD" w14:textId="77777777" w:rsidR="00AA005C" w:rsidRPr="003D52E6" w:rsidRDefault="00AA005C">
      <w:pPr>
        <w:rPr>
          <w:lang w:val="en-GB"/>
        </w:rPr>
      </w:pPr>
    </w:p>
    <w:tbl>
      <w:tblPr>
        <w:tblStyle w:val="TableGrid"/>
        <w:tblW w:w="10632" w:type="dxa"/>
        <w:tblInd w:w="-147" w:type="dxa"/>
        <w:tblLook w:val="04A0" w:firstRow="1" w:lastRow="0" w:firstColumn="1" w:lastColumn="0" w:noHBand="0" w:noVBand="1"/>
      </w:tblPr>
      <w:tblGrid>
        <w:gridCol w:w="10632"/>
      </w:tblGrid>
      <w:tr w:rsidR="00AA005C" w:rsidRPr="003D52E6" w14:paraId="69A11376" w14:textId="77777777" w:rsidTr="00D57FF3">
        <w:tc>
          <w:tcPr>
            <w:tcW w:w="10632" w:type="dxa"/>
            <w:shd w:val="clear" w:color="auto" w:fill="E2EFD9" w:themeFill="accent6" w:themeFillTint="33"/>
          </w:tcPr>
          <w:p w14:paraId="446173B7" w14:textId="7016F072" w:rsidR="00AA005C" w:rsidRPr="003D52E6" w:rsidRDefault="007B1995" w:rsidP="00717220">
            <w:pPr>
              <w:tabs>
                <w:tab w:val="right" w:pos="8794"/>
              </w:tabs>
              <w:rPr>
                <w:b/>
                <w:lang w:val="en-GB"/>
              </w:rPr>
            </w:pPr>
            <w:r w:rsidRPr="003D52E6">
              <w:rPr>
                <w:b/>
                <w:lang w:val="en-GB"/>
              </w:rPr>
              <w:t>B</w:t>
            </w:r>
            <w:r w:rsidR="00AA005C" w:rsidRPr="003D52E6">
              <w:rPr>
                <w:b/>
                <w:lang w:val="en-GB"/>
              </w:rPr>
              <w:t>rief summary of the topic/work being covered during this period</w:t>
            </w:r>
            <w:r w:rsidR="00717220" w:rsidRPr="003D52E6">
              <w:rPr>
                <w:b/>
                <w:lang w:val="en-GB"/>
              </w:rPr>
              <w:tab/>
            </w:r>
          </w:p>
        </w:tc>
      </w:tr>
      <w:tr w:rsidR="008315F1" w:rsidRPr="003D52E6" w14:paraId="4BF128E6" w14:textId="77777777" w:rsidTr="00D57FF3">
        <w:tc>
          <w:tcPr>
            <w:tcW w:w="10632" w:type="dxa"/>
          </w:tcPr>
          <w:p w14:paraId="27E86A2C" w14:textId="51FBF838" w:rsidR="004720C9" w:rsidRPr="003D52E6" w:rsidRDefault="004720C9" w:rsidP="004F3C65">
            <w:pPr>
              <w:jc w:val="both"/>
              <w:rPr>
                <w:b/>
                <w:lang w:val="en-GB"/>
              </w:rPr>
            </w:pPr>
          </w:p>
          <w:p w14:paraId="4E103F3F" w14:textId="119232E8" w:rsidR="006B3466" w:rsidRPr="003D52E6" w:rsidRDefault="006B3466" w:rsidP="006B3466">
            <w:pPr>
              <w:jc w:val="both"/>
            </w:pPr>
          </w:p>
          <w:p w14:paraId="71A61BA2" w14:textId="36E81C14" w:rsidR="0077730C" w:rsidRDefault="0077730C" w:rsidP="0077730C">
            <w:pPr>
              <w:jc w:val="both"/>
              <w:rPr>
                <w:b/>
              </w:rPr>
            </w:pPr>
            <w:r>
              <w:rPr>
                <w:b/>
              </w:rPr>
              <w:t>Unit 1 Exam Unit :</w:t>
            </w:r>
          </w:p>
          <w:p w14:paraId="7B0F7826" w14:textId="4054D05B" w:rsidR="0077730C" w:rsidRPr="0077730C" w:rsidRDefault="0077730C" w:rsidP="0077730C">
            <w:pPr>
              <w:pStyle w:val="ListParagraph"/>
              <w:numPr>
                <w:ilvl w:val="0"/>
                <w:numId w:val="34"/>
              </w:numPr>
              <w:jc w:val="both"/>
            </w:pPr>
            <w:r w:rsidRPr="0077730C">
              <w:t xml:space="preserve">Students </w:t>
            </w:r>
            <w:proofErr w:type="gramStart"/>
            <w:r w:rsidRPr="0077730C">
              <w:t>are introduced</w:t>
            </w:r>
            <w:proofErr w:type="gramEnd"/>
            <w:r w:rsidRPr="0077730C">
              <w:t xml:space="preserve"> to the </w:t>
            </w:r>
            <w:r w:rsidR="00D37E4F" w:rsidRPr="0077730C">
              <w:t>principles</w:t>
            </w:r>
            <w:r w:rsidRPr="0077730C">
              <w:t xml:space="preserve"> of growth and development from birth to 7 years 11 months.</w:t>
            </w:r>
          </w:p>
          <w:p w14:paraId="31CE5E2C" w14:textId="60B99C28" w:rsidR="0077730C" w:rsidRPr="0077730C" w:rsidRDefault="0077730C" w:rsidP="0077730C">
            <w:pPr>
              <w:pStyle w:val="ListParagraph"/>
              <w:numPr>
                <w:ilvl w:val="0"/>
                <w:numId w:val="34"/>
              </w:numPr>
              <w:jc w:val="both"/>
            </w:pPr>
            <w:r w:rsidRPr="0077730C">
              <w:t xml:space="preserve">They explore the patterns of growth, brain development and atypical development. </w:t>
            </w:r>
          </w:p>
          <w:p w14:paraId="4BA8A244" w14:textId="057CE84D" w:rsidR="0077730C" w:rsidRPr="0077730C" w:rsidRDefault="0077730C" w:rsidP="0077730C">
            <w:pPr>
              <w:pStyle w:val="ListParagraph"/>
              <w:numPr>
                <w:ilvl w:val="0"/>
                <w:numId w:val="34"/>
              </w:numPr>
              <w:jc w:val="both"/>
            </w:pPr>
            <w:r w:rsidRPr="0077730C">
              <w:t xml:space="preserve">They learn to understand factors that affect a child’s development physically, emotionally and socially. </w:t>
            </w:r>
          </w:p>
          <w:p w14:paraId="15928588" w14:textId="5F629AA2" w:rsidR="0077730C" w:rsidRPr="0077730C" w:rsidRDefault="0077730C" w:rsidP="0077730C">
            <w:pPr>
              <w:pStyle w:val="ListParagraph"/>
              <w:numPr>
                <w:ilvl w:val="0"/>
                <w:numId w:val="34"/>
              </w:numPr>
              <w:jc w:val="both"/>
            </w:pPr>
            <w:r w:rsidRPr="0077730C">
              <w:t xml:space="preserve">They construct their understanding of cognitive, language and communication development through childhood and theories that help us to explain this development. </w:t>
            </w:r>
          </w:p>
          <w:p w14:paraId="4A545CA6" w14:textId="21732147" w:rsidR="0077730C" w:rsidRDefault="0077730C" w:rsidP="0077730C">
            <w:pPr>
              <w:jc w:val="both"/>
              <w:rPr>
                <w:b/>
              </w:rPr>
            </w:pPr>
          </w:p>
          <w:p w14:paraId="58D05385" w14:textId="4B20EE08" w:rsidR="0077730C" w:rsidRDefault="0077730C" w:rsidP="0077730C">
            <w:pPr>
              <w:jc w:val="both"/>
              <w:rPr>
                <w:b/>
              </w:rPr>
            </w:pPr>
          </w:p>
          <w:p w14:paraId="49588525" w14:textId="63F8A6EB" w:rsidR="0077730C" w:rsidRDefault="0077730C" w:rsidP="0077730C">
            <w:pPr>
              <w:jc w:val="both"/>
              <w:rPr>
                <w:b/>
              </w:rPr>
            </w:pPr>
          </w:p>
          <w:p w14:paraId="55287457" w14:textId="057D089E" w:rsidR="0077730C" w:rsidRPr="003D52E6" w:rsidRDefault="0077730C" w:rsidP="0077730C">
            <w:pPr>
              <w:jc w:val="both"/>
            </w:pPr>
            <w:r>
              <w:rPr>
                <w:b/>
              </w:rPr>
              <w:t>Unit 2 Exam Unit:</w:t>
            </w:r>
          </w:p>
          <w:p w14:paraId="7ACABFFD" w14:textId="3052C651" w:rsidR="006B3466" w:rsidRDefault="0077730C" w:rsidP="00A97352">
            <w:pPr>
              <w:pStyle w:val="ListParagraph"/>
              <w:numPr>
                <w:ilvl w:val="0"/>
                <w:numId w:val="25"/>
              </w:numPr>
              <w:jc w:val="both"/>
            </w:pPr>
            <w:r>
              <w:t xml:space="preserve">Students </w:t>
            </w:r>
            <w:proofErr w:type="gramStart"/>
            <w:r>
              <w:t>are introduced</w:t>
            </w:r>
            <w:proofErr w:type="gramEnd"/>
            <w:r>
              <w:t xml:space="preserve"> to </w:t>
            </w:r>
            <w:r w:rsidR="0005502E">
              <w:t xml:space="preserve">stages of speech, communication and language development. </w:t>
            </w:r>
          </w:p>
          <w:p w14:paraId="728EF022" w14:textId="723960C6" w:rsidR="0005502E" w:rsidRDefault="0005502E" w:rsidP="00A97352">
            <w:pPr>
              <w:pStyle w:val="ListParagraph"/>
              <w:numPr>
                <w:ilvl w:val="0"/>
                <w:numId w:val="25"/>
              </w:numPr>
              <w:jc w:val="both"/>
            </w:pPr>
            <w:r>
              <w:t xml:space="preserve">They explore how language development is linked to emotional and social development through the work of theorists ( Brunner, Chomsky, Vygotsky, </w:t>
            </w:r>
            <w:r w:rsidR="00CE6016">
              <w:t>Piaget)</w:t>
            </w:r>
          </w:p>
          <w:p w14:paraId="1E427056" w14:textId="1F1049C1" w:rsidR="00CE6016" w:rsidRDefault="00CE6016" w:rsidP="00A97352">
            <w:pPr>
              <w:pStyle w:val="ListParagraph"/>
              <w:numPr>
                <w:ilvl w:val="0"/>
                <w:numId w:val="25"/>
              </w:numPr>
              <w:jc w:val="both"/>
            </w:pPr>
            <w:r>
              <w:t>They construct an understanding of factors that affect speech and communication development and the importance of early intervention.</w:t>
            </w:r>
          </w:p>
          <w:p w14:paraId="4EEA299C" w14:textId="054627C7" w:rsidR="00CE6016" w:rsidRDefault="00CE6016" w:rsidP="00A97352">
            <w:pPr>
              <w:pStyle w:val="ListParagraph"/>
              <w:numPr>
                <w:ilvl w:val="0"/>
                <w:numId w:val="25"/>
              </w:numPr>
              <w:jc w:val="both"/>
            </w:pPr>
            <w:r>
              <w:t>Students explore how early years settings create environments that encourage language and literacy skills, through phonics, reading, language rich environment.</w:t>
            </w:r>
          </w:p>
          <w:p w14:paraId="6F70AB00" w14:textId="4E49C00D" w:rsidR="00CE6016" w:rsidRPr="003D52E6" w:rsidRDefault="00CE6016" w:rsidP="00A97352">
            <w:pPr>
              <w:pStyle w:val="ListParagraph"/>
              <w:numPr>
                <w:ilvl w:val="0"/>
                <w:numId w:val="25"/>
              </w:numPr>
              <w:jc w:val="both"/>
            </w:pPr>
            <w:r>
              <w:t xml:space="preserve">They learn how practitioners support the development of early mathematical skills and identify key </w:t>
            </w:r>
            <w:r w:rsidR="003249D5">
              <w:t>activities</w:t>
            </w:r>
            <w:r>
              <w:t xml:space="preserve"> to support their </w:t>
            </w:r>
            <w:r w:rsidR="003249D5">
              <w:t>mathematics</w:t>
            </w:r>
            <w:r>
              <w:t xml:space="preserve"> development. </w:t>
            </w:r>
          </w:p>
          <w:p w14:paraId="5F2EBDBC" w14:textId="2695A982" w:rsidR="001D31C5" w:rsidRPr="003D52E6" w:rsidRDefault="001D31C5" w:rsidP="001D31C5">
            <w:pPr>
              <w:jc w:val="both"/>
              <w:rPr>
                <w:b/>
              </w:rPr>
            </w:pPr>
          </w:p>
          <w:p w14:paraId="1D0268A4" w14:textId="77777777" w:rsidR="003D5CE7" w:rsidRPr="003D52E6" w:rsidRDefault="003D5CE7" w:rsidP="00941795">
            <w:pPr>
              <w:jc w:val="both"/>
              <w:rPr>
                <w:lang w:val="en-GB"/>
              </w:rPr>
            </w:pPr>
          </w:p>
          <w:p w14:paraId="799C0CAC" w14:textId="77777777" w:rsidR="009D03DC" w:rsidRPr="003D52E6" w:rsidRDefault="009D03DC" w:rsidP="009D03DC">
            <w:pPr>
              <w:pStyle w:val="ListParagraph"/>
              <w:rPr>
                <w:b/>
                <w:lang w:val="en-GB"/>
              </w:rPr>
            </w:pPr>
          </w:p>
          <w:p w14:paraId="19C23ED5" w14:textId="0FB5D0F1" w:rsidR="009D03DC" w:rsidRPr="003D52E6" w:rsidRDefault="009D03DC" w:rsidP="009D03DC">
            <w:pPr>
              <w:jc w:val="both"/>
              <w:rPr>
                <w:b/>
                <w:lang w:val="en-GB"/>
              </w:rPr>
            </w:pPr>
          </w:p>
        </w:tc>
      </w:tr>
      <w:tr w:rsidR="007B1995" w:rsidRPr="003D52E6" w14:paraId="07B414B0" w14:textId="77777777" w:rsidTr="007B1995">
        <w:tc>
          <w:tcPr>
            <w:tcW w:w="10632" w:type="dxa"/>
            <w:shd w:val="clear" w:color="auto" w:fill="E2EFD9" w:themeFill="accent6" w:themeFillTint="33"/>
          </w:tcPr>
          <w:p w14:paraId="74FC2212" w14:textId="72A33205" w:rsidR="007B1995" w:rsidRPr="003D52E6" w:rsidRDefault="006E5B6C" w:rsidP="007B1995">
            <w:pPr>
              <w:jc w:val="both"/>
              <w:rPr>
                <w:lang w:val="en-GB"/>
              </w:rPr>
            </w:pPr>
            <w:r w:rsidRPr="003D52E6">
              <w:rPr>
                <w:b/>
                <w:lang w:val="en-GB"/>
              </w:rPr>
              <w:t>P</w:t>
            </w:r>
            <w:r w:rsidR="007B1995" w:rsidRPr="003D52E6">
              <w:rPr>
                <w:b/>
                <w:lang w:val="en-GB"/>
              </w:rPr>
              <w:t>rior knowledge needed for this unit/topic from previous teaching</w:t>
            </w:r>
          </w:p>
        </w:tc>
      </w:tr>
      <w:tr w:rsidR="007B1995" w:rsidRPr="003D52E6" w14:paraId="5B1F8AB2" w14:textId="77777777" w:rsidTr="00D57FF3">
        <w:tc>
          <w:tcPr>
            <w:tcW w:w="10632" w:type="dxa"/>
          </w:tcPr>
          <w:p w14:paraId="2A50D6DE" w14:textId="205098AF" w:rsidR="00ED3696" w:rsidRDefault="003249D5" w:rsidP="003249D5">
            <w:pPr>
              <w:rPr>
                <w:lang w:val="en-GB"/>
              </w:rPr>
            </w:pPr>
            <w:r>
              <w:rPr>
                <w:lang w:val="en-GB"/>
              </w:rPr>
              <w:t>No previous knowledge if n</w:t>
            </w:r>
            <w:r w:rsidR="00C1785F">
              <w:rPr>
                <w:lang w:val="en-GB"/>
              </w:rPr>
              <w:t xml:space="preserve">eeded for these units of study. </w:t>
            </w:r>
            <w:r>
              <w:rPr>
                <w:lang w:val="en-GB"/>
              </w:rPr>
              <w:t xml:space="preserve">Students will be able to draw upon their own experiences and examples provided in case studies. They will also be able to draw upon their experiences within their placements that will take place in November 2021. </w:t>
            </w:r>
          </w:p>
          <w:p w14:paraId="30878C56" w14:textId="0122ACEE" w:rsidR="003249D5" w:rsidRPr="003D52E6" w:rsidRDefault="003249D5" w:rsidP="003249D5">
            <w:pPr>
              <w:rPr>
                <w:b/>
                <w:lang w:val="en-GB"/>
              </w:rPr>
            </w:pPr>
          </w:p>
        </w:tc>
      </w:tr>
      <w:tr w:rsidR="00AA005C" w:rsidRPr="003D52E6" w14:paraId="079F81EC" w14:textId="77777777" w:rsidTr="00D57FF3">
        <w:tc>
          <w:tcPr>
            <w:tcW w:w="10632" w:type="dxa"/>
            <w:shd w:val="clear" w:color="auto" w:fill="E2EFD9" w:themeFill="accent6" w:themeFillTint="33"/>
          </w:tcPr>
          <w:p w14:paraId="7DBAF03E" w14:textId="26CF0E01" w:rsidR="00AA005C" w:rsidRPr="003D52E6" w:rsidRDefault="007B1995">
            <w:pPr>
              <w:rPr>
                <w:b/>
                <w:lang w:val="en-GB"/>
              </w:rPr>
            </w:pPr>
            <w:r w:rsidRPr="003D52E6">
              <w:rPr>
                <w:b/>
                <w:lang w:val="en-GB"/>
              </w:rPr>
              <w:t>R</w:t>
            </w:r>
            <w:r w:rsidR="00AA005C" w:rsidRPr="003D52E6">
              <w:rPr>
                <w:b/>
                <w:lang w:val="en-GB"/>
              </w:rPr>
              <w:t>ationale for students studying this unit/topic</w:t>
            </w:r>
            <w:r w:rsidRPr="003D52E6">
              <w:rPr>
                <w:b/>
                <w:lang w:val="en-GB"/>
              </w:rPr>
              <w:t xml:space="preserve"> </w:t>
            </w:r>
          </w:p>
        </w:tc>
      </w:tr>
      <w:tr w:rsidR="008315F1" w:rsidRPr="003D52E6" w14:paraId="5B871996" w14:textId="77777777" w:rsidTr="00D57FF3">
        <w:tc>
          <w:tcPr>
            <w:tcW w:w="10632" w:type="dxa"/>
          </w:tcPr>
          <w:p w14:paraId="207CCB31" w14:textId="6D9733F1" w:rsidR="007B1995" w:rsidRPr="003D52E6" w:rsidRDefault="00D42DF2" w:rsidP="007B1995">
            <w:pPr>
              <w:rPr>
                <w:b/>
                <w:lang w:val="en-GB"/>
              </w:rPr>
            </w:pPr>
            <w:r w:rsidRPr="003D52E6">
              <w:rPr>
                <w:b/>
                <w:lang w:val="en-GB"/>
              </w:rPr>
              <w:t>Rationale for studying these</w:t>
            </w:r>
            <w:r w:rsidR="007B1995" w:rsidRPr="003D52E6">
              <w:rPr>
                <w:b/>
                <w:lang w:val="en-GB"/>
              </w:rPr>
              <w:t xml:space="preserve"> topic</w:t>
            </w:r>
            <w:r w:rsidRPr="003D52E6">
              <w:rPr>
                <w:b/>
                <w:lang w:val="en-GB"/>
              </w:rPr>
              <w:t>s</w:t>
            </w:r>
          </w:p>
          <w:p w14:paraId="5FE61331" w14:textId="2DF25F9B" w:rsidR="00F13747" w:rsidRPr="003D52E6" w:rsidRDefault="00F13747" w:rsidP="007B1995">
            <w:pPr>
              <w:rPr>
                <w:lang w:val="en-GB"/>
              </w:rPr>
            </w:pPr>
          </w:p>
          <w:p w14:paraId="464A9B7E" w14:textId="748BB751" w:rsidR="009362CB" w:rsidRPr="003D52E6" w:rsidRDefault="003249D5" w:rsidP="007B1995">
            <w:pPr>
              <w:rPr>
                <w:lang w:val="en-GB"/>
              </w:rPr>
            </w:pPr>
            <w:r>
              <w:rPr>
                <w:lang w:val="en-GB"/>
              </w:rPr>
              <w:t xml:space="preserve">Unit 1 and 2 </w:t>
            </w:r>
            <w:r w:rsidR="00FD5D4F" w:rsidRPr="003D52E6">
              <w:rPr>
                <w:lang w:val="en-GB"/>
              </w:rPr>
              <w:t>a</w:t>
            </w:r>
            <w:r>
              <w:rPr>
                <w:lang w:val="en-GB"/>
              </w:rPr>
              <w:t>re</w:t>
            </w:r>
            <w:r w:rsidR="00FD5D4F" w:rsidRPr="003D52E6">
              <w:rPr>
                <w:lang w:val="en-GB"/>
              </w:rPr>
              <w:t xml:space="preserve"> mandatory and core unit</w:t>
            </w:r>
            <w:r>
              <w:rPr>
                <w:lang w:val="en-GB"/>
              </w:rPr>
              <w:t>s</w:t>
            </w:r>
            <w:r w:rsidR="00FD5D4F" w:rsidRPr="003D52E6">
              <w:rPr>
                <w:lang w:val="en-GB"/>
              </w:rPr>
              <w:t xml:space="preserve"> of the Extended Certificate </w:t>
            </w:r>
            <w:r>
              <w:rPr>
                <w:lang w:val="en-GB"/>
              </w:rPr>
              <w:t>in Children’s Play and Learning</w:t>
            </w:r>
            <w:r w:rsidR="00FD5D4F" w:rsidRPr="003D52E6">
              <w:rPr>
                <w:lang w:val="en-GB"/>
              </w:rPr>
              <w:t xml:space="preserve">. </w:t>
            </w:r>
            <w:r w:rsidR="009362CB" w:rsidRPr="003D52E6">
              <w:rPr>
                <w:lang w:val="en-GB"/>
              </w:rPr>
              <w:t xml:space="preserve"> </w:t>
            </w:r>
          </w:p>
          <w:p w14:paraId="3DA9DD71" w14:textId="32D37066" w:rsidR="003249D5" w:rsidRPr="003D52E6" w:rsidRDefault="003249D5" w:rsidP="007B1995">
            <w:pPr>
              <w:rPr>
                <w:lang w:val="en-GB"/>
              </w:rPr>
            </w:pPr>
            <w:r>
              <w:rPr>
                <w:lang w:val="en-GB"/>
              </w:rPr>
              <w:t xml:space="preserve">They are exam units that will be taught through the </w:t>
            </w:r>
            <w:proofErr w:type="gramStart"/>
            <w:r>
              <w:rPr>
                <w:lang w:val="en-GB"/>
              </w:rPr>
              <w:t>whole</w:t>
            </w:r>
            <w:proofErr w:type="gramEnd"/>
            <w:r>
              <w:rPr>
                <w:lang w:val="en-GB"/>
              </w:rPr>
              <w:t xml:space="preserve"> academic year and their summative exam will be held in May 2022. </w:t>
            </w:r>
          </w:p>
          <w:p w14:paraId="06425882" w14:textId="2F049C75" w:rsidR="004F3C65" w:rsidRDefault="004F3C65" w:rsidP="007B1995">
            <w:pPr>
              <w:jc w:val="both"/>
              <w:rPr>
                <w:b/>
                <w:bCs/>
                <w:lang w:val="en-GB"/>
              </w:rPr>
            </w:pPr>
          </w:p>
          <w:p w14:paraId="5EF2FC0F" w14:textId="2ABCB733" w:rsidR="003249D5" w:rsidRDefault="003249D5" w:rsidP="007B1995">
            <w:pPr>
              <w:jc w:val="both"/>
              <w:rPr>
                <w:b/>
                <w:bCs/>
                <w:lang w:val="en-GB"/>
              </w:rPr>
            </w:pPr>
          </w:p>
          <w:p w14:paraId="24CCDAA6" w14:textId="77777777" w:rsidR="003249D5" w:rsidRPr="003D52E6" w:rsidRDefault="003249D5" w:rsidP="007B1995">
            <w:pPr>
              <w:jc w:val="both"/>
              <w:rPr>
                <w:b/>
                <w:bCs/>
                <w:lang w:val="en-GB"/>
              </w:rPr>
            </w:pPr>
          </w:p>
          <w:p w14:paraId="40BA51EB" w14:textId="722E52A1" w:rsidR="004F3C65" w:rsidRPr="003D52E6" w:rsidRDefault="007B1995" w:rsidP="004F3C65">
            <w:pPr>
              <w:jc w:val="both"/>
              <w:rPr>
                <w:b/>
                <w:bCs/>
                <w:lang w:val="en-GB"/>
              </w:rPr>
            </w:pPr>
            <w:r w:rsidRPr="003D52E6">
              <w:rPr>
                <w:b/>
                <w:bCs/>
                <w:lang w:val="en-GB"/>
              </w:rPr>
              <w:t>Rationale for timing of this topic</w:t>
            </w:r>
          </w:p>
          <w:p w14:paraId="7624D602" w14:textId="7E32FDBD" w:rsidR="004C740E" w:rsidRPr="003D52E6" w:rsidRDefault="004C740E" w:rsidP="004F3C65">
            <w:pPr>
              <w:jc w:val="both"/>
              <w:rPr>
                <w:b/>
                <w:bCs/>
                <w:lang w:val="en-GB"/>
              </w:rPr>
            </w:pPr>
          </w:p>
          <w:p w14:paraId="45A4BF5A" w14:textId="2A688FAF" w:rsidR="00BD29F2" w:rsidRPr="003D52E6" w:rsidRDefault="003249D5" w:rsidP="00FD5D4F">
            <w:pPr>
              <w:jc w:val="both"/>
              <w:rPr>
                <w:bCs/>
                <w:lang w:val="en-GB"/>
              </w:rPr>
            </w:pPr>
            <w:r>
              <w:rPr>
                <w:bCs/>
                <w:lang w:val="en-GB"/>
              </w:rPr>
              <w:t xml:space="preserve">Both units are studied in Y12 this allows students the opportunity to re-sit exam in Y13 if needed. It also allows students to build a sound knowledge base to support their work placement experiences. </w:t>
            </w:r>
          </w:p>
          <w:p w14:paraId="3F3BBFD1" w14:textId="737BCA4D" w:rsidR="00BD29F2" w:rsidRPr="003D52E6" w:rsidRDefault="00BD29F2" w:rsidP="004F3C65">
            <w:pPr>
              <w:jc w:val="both"/>
              <w:rPr>
                <w:bCs/>
                <w:lang w:val="en-GB"/>
              </w:rPr>
            </w:pPr>
          </w:p>
          <w:p w14:paraId="27C56A2D" w14:textId="04E4761B" w:rsidR="00D57FF3" w:rsidRPr="003D52E6" w:rsidRDefault="00D57FF3" w:rsidP="004F3C65">
            <w:pPr>
              <w:jc w:val="both"/>
              <w:rPr>
                <w:bCs/>
                <w:lang w:val="en-GB"/>
              </w:rPr>
            </w:pPr>
          </w:p>
        </w:tc>
      </w:tr>
      <w:tr w:rsidR="00AA005C" w:rsidRPr="003D52E6" w14:paraId="6BD43A62" w14:textId="77777777" w:rsidTr="00D57FF3">
        <w:tc>
          <w:tcPr>
            <w:tcW w:w="10632" w:type="dxa"/>
            <w:shd w:val="clear" w:color="auto" w:fill="E2EFD9" w:themeFill="accent6" w:themeFillTint="33"/>
          </w:tcPr>
          <w:p w14:paraId="23E38E3B" w14:textId="7A3755DA" w:rsidR="00AA005C" w:rsidRPr="003D52E6" w:rsidRDefault="003B1C40">
            <w:pPr>
              <w:rPr>
                <w:b/>
                <w:lang w:val="en-GB"/>
              </w:rPr>
            </w:pPr>
            <w:r w:rsidRPr="003D52E6">
              <w:rPr>
                <w:b/>
                <w:lang w:val="en-GB"/>
              </w:rPr>
              <w:lastRenderedPageBreak/>
              <w:t>K</w:t>
            </w:r>
            <w:r w:rsidR="00AA005C" w:rsidRPr="003D52E6">
              <w:rPr>
                <w:b/>
                <w:lang w:val="en-GB"/>
              </w:rPr>
              <w:t>ey concepts/ideas that are taught to students in this unit/topic</w:t>
            </w:r>
            <w:r w:rsidR="007B1995" w:rsidRPr="003D52E6">
              <w:rPr>
                <w:b/>
                <w:lang w:val="en-GB"/>
              </w:rPr>
              <w:t xml:space="preserve">, including </w:t>
            </w:r>
            <w:r w:rsidRPr="003D52E6">
              <w:rPr>
                <w:b/>
                <w:lang w:val="en-GB"/>
              </w:rPr>
              <w:t>a</w:t>
            </w:r>
            <w:r w:rsidR="007B1995" w:rsidRPr="003D52E6">
              <w:rPr>
                <w:b/>
                <w:lang w:val="en-GB"/>
              </w:rPr>
              <w:t xml:space="preserve">ny </w:t>
            </w:r>
            <w:r w:rsidR="00F56CCA" w:rsidRPr="003D52E6">
              <w:rPr>
                <w:b/>
                <w:lang w:val="en-GB"/>
              </w:rPr>
              <w:t xml:space="preserve">anticipated gaps in </w:t>
            </w:r>
            <w:r w:rsidR="007B1995" w:rsidRPr="003D52E6">
              <w:rPr>
                <w:b/>
                <w:lang w:val="en-GB"/>
              </w:rPr>
              <w:t>knowledge</w:t>
            </w:r>
            <w:r w:rsidR="00F56CCA" w:rsidRPr="003D52E6">
              <w:rPr>
                <w:b/>
                <w:lang w:val="en-GB"/>
              </w:rPr>
              <w:t xml:space="preserve"> </w:t>
            </w:r>
            <w:r w:rsidRPr="003D52E6">
              <w:rPr>
                <w:b/>
                <w:lang w:val="en-GB"/>
              </w:rPr>
              <w:t xml:space="preserve">and </w:t>
            </w:r>
            <w:r w:rsidR="007B1995" w:rsidRPr="003D52E6">
              <w:rPr>
                <w:b/>
                <w:lang w:val="en-GB"/>
              </w:rPr>
              <w:t>plan</w:t>
            </w:r>
            <w:r w:rsidR="00F56CCA" w:rsidRPr="003D52E6">
              <w:rPr>
                <w:b/>
                <w:lang w:val="en-GB"/>
              </w:rPr>
              <w:t xml:space="preserve"> to overcome</w:t>
            </w:r>
            <w:r w:rsidR="007B1995" w:rsidRPr="003D52E6">
              <w:rPr>
                <w:b/>
                <w:lang w:val="en-GB"/>
              </w:rPr>
              <w:t xml:space="preserve"> these</w:t>
            </w:r>
          </w:p>
        </w:tc>
      </w:tr>
      <w:tr w:rsidR="008315F1" w:rsidRPr="003D52E6" w14:paraId="70E88F15" w14:textId="77777777" w:rsidTr="00D57FF3">
        <w:tc>
          <w:tcPr>
            <w:tcW w:w="10632" w:type="dxa"/>
          </w:tcPr>
          <w:p w14:paraId="68E76F66" w14:textId="77777777" w:rsidR="009362CB" w:rsidRPr="003D52E6" w:rsidRDefault="009362CB" w:rsidP="009362CB">
            <w:pPr>
              <w:pStyle w:val="ListParagraph"/>
              <w:jc w:val="both"/>
              <w:rPr>
                <w:lang w:val="en-GB"/>
              </w:rPr>
            </w:pPr>
          </w:p>
          <w:p w14:paraId="416F1F3A" w14:textId="4872D58B" w:rsidR="00D37E4F" w:rsidRDefault="00D37E4F" w:rsidP="009362CB">
            <w:pPr>
              <w:pStyle w:val="ListParagraph"/>
              <w:jc w:val="both"/>
              <w:rPr>
                <w:b/>
                <w:lang w:val="en-GB"/>
              </w:rPr>
            </w:pPr>
            <w:r>
              <w:rPr>
                <w:b/>
                <w:lang w:val="en-GB"/>
              </w:rPr>
              <w:t>Unit 1</w:t>
            </w:r>
          </w:p>
          <w:p w14:paraId="78771CD2" w14:textId="77777777" w:rsidR="00D37E4F" w:rsidRDefault="00D37E4F" w:rsidP="009362CB">
            <w:pPr>
              <w:pStyle w:val="ListParagraph"/>
              <w:jc w:val="both"/>
              <w:rPr>
                <w:b/>
                <w:lang w:val="en-GB"/>
              </w:rPr>
            </w:pPr>
          </w:p>
          <w:p w14:paraId="0C9990A4" w14:textId="77777777" w:rsidR="00D37E4F" w:rsidRPr="003D52E6" w:rsidRDefault="00D37E4F" w:rsidP="00D37E4F">
            <w:pPr>
              <w:pStyle w:val="ListParagraph"/>
              <w:numPr>
                <w:ilvl w:val="0"/>
                <w:numId w:val="33"/>
              </w:numPr>
              <w:jc w:val="both"/>
            </w:pPr>
            <w:r>
              <w:t>Define the meaning of principles of growth and development</w:t>
            </w:r>
            <w:r w:rsidRPr="003D52E6">
              <w:t xml:space="preserve">. </w:t>
            </w:r>
          </w:p>
          <w:p w14:paraId="7A4E89DD" w14:textId="77777777" w:rsidR="00D37E4F" w:rsidRPr="003D52E6" w:rsidRDefault="00D37E4F" w:rsidP="00D37E4F">
            <w:pPr>
              <w:pStyle w:val="ListParagraph"/>
              <w:numPr>
                <w:ilvl w:val="0"/>
                <w:numId w:val="33"/>
              </w:numPr>
              <w:jc w:val="both"/>
            </w:pPr>
            <w:r>
              <w:t xml:space="preserve">Explore </w:t>
            </w:r>
            <w:proofErr w:type="gramStart"/>
            <w:r>
              <w:t xml:space="preserve">how growth and development is measured, the effects of early experiences on brain development and how to </w:t>
            </w:r>
            <w:proofErr w:type="spellStart"/>
            <w:r>
              <w:t>recognise</w:t>
            </w:r>
            <w:proofErr w:type="spellEnd"/>
            <w:r>
              <w:t xml:space="preserve"> delays in development</w:t>
            </w:r>
            <w:proofErr w:type="gramEnd"/>
            <w:r>
              <w:t xml:space="preserve">. </w:t>
            </w:r>
          </w:p>
          <w:p w14:paraId="320BDC85" w14:textId="432A7A8D" w:rsidR="00D37E4F" w:rsidRDefault="00D37E4F" w:rsidP="00D37E4F">
            <w:pPr>
              <w:pStyle w:val="ListParagraph"/>
              <w:numPr>
                <w:ilvl w:val="0"/>
                <w:numId w:val="33"/>
              </w:numPr>
              <w:jc w:val="both"/>
            </w:pPr>
            <w:r>
              <w:t xml:space="preserve">Students will be able to </w:t>
            </w:r>
            <w:proofErr w:type="spellStart"/>
            <w:r>
              <w:t>summarise</w:t>
            </w:r>
            <w:proofErr w:type="spellEnd"/>
            <w:r>
              <w:t xml:space="preserve"> a </w:t>
            </w:r>
            <w:r w:rsidR="007A3C6B">
              <w:t>child’s</w:t>
            </w:r>
            <w:bookmarkStart w:id="0" w:name="_GoBack"/>
            <w:bookmarkEnd w:id="0"/>
            <w:r>
              <w:t xml:space="preserve"> typical development in respect of their gross and fine motor skills, </w:t>
            </w:r>
            <w:proofErr w:type="gramStart"/>
            <w:r>
              <w:t>cognitive and language development</w:t>
            </w:r>
            <w:proofErr w:type="gramEnd"/>
            <w:r>
              <w:t xml:space="preserve"> and their social and emotional development. </w:t>
            </w:r>
          </w:p>
          <w:p w14:paraId="48DAB5D6" w14:textId="10C9F97F" w:rsidR="00D37E4F" w:rsidRDefault="00D37E4F" w:rsidP="00D37E4F">
            <w:pPr>
              <w:pStyle w:val="ListParagraph"/>
              <w:numPr>
                <w:ilvl w:val="0"/>
                <w:numId w:val="33"/>
              </w:numPr>
              <w:jc w:val="both"/>
            </w:pPr>
            <w:r>
              <w:t xml:space="preserve">They will explore in-depth information processing theory or cognitive development in relation to encoding, storage and retrieval. </w:t>
            </w:r>
          </w:p>
          <w:p w14:paraId="2F7526B9" w14:textId="5E873304" w:rsidR="00D37E4F" w:rsidRPr="003D52E6" w:rsidRDefault="00D37E4F" w:rsidP="00D37E4F">
            <w:pPr>
              <w:pStyle w:val="ListParagraph"/>
              <w:numPr>
                <w:ilvl w:val="0"/>
                <w:numId w:val="33"/>
              </w:numPr>
              <w:jc w:val="both"/>
            </w:pPr>
            <w:r>
              <w:t xml:space="preserve">They will construct an understanding of the structure of language and the three key elements of phonology, semantics and syntax. </w:t>
            </w:r>
          </w:p>
          <w:p w14:paraId="4A01D6F8" w14:textId="66F4B97A" w:rsidR="00D37E4F" w:rsidRPr="00D37E4F" w:rsidRDefault="00D37E4F" w:rsidP="00D37E4F">
            <w:pPr>
              <w:jc w:val="both"/>
              <w:rPr>
                <w:b/>
                <w:lang w:val="en-GB"/>
              </w:rPr>
            </w:pPr>
          </w:p>
          <w:p w14:paraId="0C087F4C" w14:textId="77777777" w:rsidR="00D37E4F" w:rsidRDefault="00D37E4F" w:rsidP="009362CB">
            <w:pPr>
              <w:pStyle w:val="ListParagraph"/>
              <w:jc w:val="both"/>
              <w:rPr>
                <w:b/>
                <w:lang w:val="en-GB"/>
              </w:rPr>
            </w:pPr>
          </w:p>
          <w:p w14:paraId="32F9205B" w14:textId="188B5820" w:rsidR="009362CB" w:rsidRDefault="00D37E4F" w:rsidP="009362CB">
            <w:pPr>
              <w:pStyle w:val="ListParagraph"/>
              <w:jc w:val="both"/>
              <w:rPr>
                <w:b/>
                <w:lang w:val="en-GB"/>
              </w:rPr>
            </w:pPr>
            <w:r>
              <w:rPr>
                <w:b/>
                <w:lang w:val="en-GB"/>
              </w:rPr>
              <w:t>Unit 2</w:t>
            </w:r>
          </w:p>
          <w:p w14:paraId="34C085A3" w14:textId="7D3D7F78" w:rsidR="00CE6016" w:rsidRPr="00CE6016" w:rsidRDefault="00CE6016" w:rsidP="00CE6016">
            <w:pPr>
              <w:pStyle w:val="ListParagraph"/>
              <w:numPr>
                <w:ilvl w:val="0"/>
                <w:numId w:val="33"/>
              </w:numPr>
              <w:jc w:val="both"/>
              <w:rPr>
                <w:b/>
                <w:lang w:val="en-GB"/>
              </w:rPr>
            </w:pPr>
            <w:r>
              <w:rPr>
                <w:lang w:val="en-GB"/>
              </w:rPr>
              <w:t>Define the meaning of linguistic phase and the components of speech (phonology, phonemes, semantics, syntax)</w:t>
            </w:r>
          </w:p>
          <w:p w14:paraId="1043344E" w14:textId="12F7B509" w:rsidR="00CE6016" w:rsidRPr="00CE6016" w:rsidRDefault="00CE6016" w:rsidP="00CE6016">
            <w:pPr>
              <w:pStyle w:val="ListParagraph"/>
              <w:numPr>
                <w:ilvl w:val="0"/>
                <w:numId w:val="33"/>
              </w:numPr>
              <w:jc w:val="both"/>
              <w:rPr>
                <w:b/>
                <w:lang w:val="en-GB"/>
              </w:rPr>
            </w:pPr>
            <w:r>
              <w:rPr>
                <w:lang w:val="en-GB"/>
              </w:rPr>
              <w:t xml:space="preserve">Explore the links of language development with social and emotional development in respect of the key person and findings from social </w:t>
            </w:r>
            <w:r w:rsidR="003249D5">
              <w:rPr>
                <w:lang w:val="en-GB"/>
              </w:rPr>
              <w:t>interactionist</w:t>
            </w:r>
            <w:r>
              <w:rPr>
                <w:lang w:val="en-GB"/>
              </w:rPr>
              <w:t xml:space="preserve"> theories ( Brown, Chomsky, </w:t>
            </w:r>
            <w:proofErr w:type="spellStart"/>
            <w:r>
              <w:rPr>
                <w:lang w:val="en-GB"/>
              </w:rPr>
              <w:t>Vygostky</w:t>
            </w:r>
            <w:proofErr w:type="spellEnd"/>
            <w:r>
              <w:rPr>
                <w:lang w:val="en-GB"/>
              </w:rPr>
              <w:t>)</w:t>
            </w:r>
          </w:p>
          <w:p w14:paraId="3EE753B3" w14:textId="219F39AA" w:rsidR="00CE6016" w:rsidRPr="003249D5" w:rsidRDefault="00CE6016" w:rsidP="00CE6016">
            <w:pPr>
              <w:pStyle w:val="ListParagraph"/>
              <w:numPr>
                <w:ilvl w:val="0"/>
                <w:numId w:val="33"/>
              </w:numPr>
              <w:jc w:val="both"/>
              <w:rPr>
                <w:b/>
                <w:lang w:val="en-GB"/>
              </w:rPr>
            </w:pPr>
            <w:r>
              <w:rPr>
                <w:lang w:val="en-GB"/>
              </w:rPr>
              <w:t xml:space="preserve">Students will produce activity plans that support </w:t>
            </w:r>
            <w:r w:rsidR="003249D5">
              <w:rPr>
                <w:lang w:val="en-GB"/>
              </w:rPr>
              <w:t xml:space="preserve">children to develop reading, </w:t>
            </w:r>
            <w:r>
              <w:rPr>
                <w:lang w:val="en-GB"/>
              </w:rPr>
              <w:t>writing skills</w:t>
            </w:r>
            <w:r w:rsidR="003249D5">
              <w:rPr>
                <w:lang w:val="en-GB"/>
              </w:rPr>
              <w:t xml:space="preserve"> and numeracy skills. </w:t>
            </w:r>
          </w:p>
          <w:p w14:paraId="74740539" w14:textId="53949C4B" w:rsidR="003249D5" w:rsidRPr="003249D5" w:rsidRDefault="003249D5" w:rsidP="00CE6016">
            <w:pPr>
              <w:pStyle w:val="ListParagraph"/>
              <w:numPr>
                <w:ilvl w:val="0"/>
                <w:numId w:val="33"/>
              </w:numPr>
              <w:jc w:val="both"/>
              <w:rPr>
                <w:b/>
                <w:lang w:val="en-GB"/>
              </w:rPr>
            </w:pPr>
            <w:r>
              <w:rPr>
                <w:lang w:val="en-GB"/>
              </w:rPr>
              <w:t xml:space="preserve">Students will write about key principles of how to design and cultivate a language rich environment. </w:t>
            </w:r>
          </w:p>
          <w:p w14:paraId="32A7955B" w14:textId="41DB4BBE" w:rsidR="003249D5" w:rsidRPr="00CE6016" w:rsidRDefault="003249D5" w:rsidP="00CE6016">
            <w:pPr>
              <w:pStyle w:val="ListParagraph"/>
              <w:numPr>
                <w:ilvl w:val="0"/>
                <w:numId w:val="33"/>
              </w:numPr>
              <w:jc w:val="both"/>
              <w:rPr>
                <w:b/>
                <w:lang w:val="en-GB"/>
              </w:rPr>
            </w:pPr>
            <w:r>
              <w:rPr>
                <w:lang w:val="en-GB"/>
              </w:rPr>
              <w:t xml:space="preserve">Students will demonstrate their ability to support language and numeracy skills in a work placement. </w:t>
            </w:r>
          </w:p>
          <w:p w14:paraId="2186EAC5" w14:textId="77777777" w:rsidR="00D37E4F" w:rsidRPr="003D52E6" w:rsidRDefault="00D37E4F" w:rsidP="009362CB">
            <w:pPr>
              <w:pStyle w:val="ListParagraph"/>
              <w:jc w:val="both"/>
              <w:rPr>
                <w:b/>
                <w:lang w:val="en-GB"/>
              </w:rPr>
            </w:pPr>
          </w:p>
          <w:p w14:paraId="51566B2A" w14:textId="77777777" w:rsidR="004B4D51" w:rsidRPr="003D52E6" w:rsidRDefault="004B4D51" w:rsidP="004B4D51">
            <w:pPr>
              <w:jc w:val="both"/>
              <w:rPr>
                <w:lang w:val="en-GB"/>
              </w:rPr>
            </w:pPr>
          </w:p>
          <w:p w14:paraId="6784E8EC" w14:textId="5FDD8C26" w:rsidR="004B4D51" w:rsidRPr="003D52E6" w:rsidRDefault="004B4D51" w:rsidP="004B4D51">
            <w:pPr>
              <w:jc w:val="both"/>
              <w:rPr>
                <w:lang w:val="en-GB"/>
              </w:rPr>
            </w:pPr>
          </w:p>
        </w:tc>
      </w:tr>
      <w:tr w:rsidR="00AA005C" w:rsidRPr="003D52E6" w14:paraId="5B2CDDBC" w14:textId="77777777" w:rsidTr="00D57FF3">
        <w:tc>
          <w:tcPr>
            <w:tcW w:w="10632" w:type="dxa"/>
            <w:shd w:val="clear" w:color="auto" w:fill="E2EFD9" w:themeFill="accent6" w:themeFillTint="33"/>
          </w:tcPr>
          <w:p w14:paraId="24C6014E" w14:textId="31085703" w:rsidR="00AA005C" w:rsidRPr="003D52E6" w:rsidRDefault="003B1C40">
            <w:pPr>
              <w:rPr>
                <w:b/>
                <w:lang w:val="en-GB"/>
              </w:rPr>
            </w:pPr>
            <w:r w:rsidRPr="003D52E6">
              <w:rPr>
                <w:b/>
                <w:lang w:val="en-GB"/>
              </w:rPr>
              <w:t>New</w:t>
            </w:r>
            <w:r w:rsidR="004124B4" w:rsidRPr="003D52E6">
              <w:rPr>
                <w:b/>
                <w:lang w:val="en-GB"/>
              </w:rPr>
              <w:t xml:space="preserve"> </w:t>
            </w:r>
            <w:r w:rsidR="00AA005C" w:rsidRPr="003D52E6">
              <w:rPr>
                <w:b/>
                <w:lang w:val="en-GB"/>
              </w:rPr>
              <w:t xml:space="preserve">key terminology </w:t>
            </w:r>
            <w:r w:rsidRPr="003D52E6">
              <w:rPr>
                <w:b/>
                <w:lang w:val="en-GB"/>
              </w:rPr>
              <w:t>s</w:t>
            </w:r>
            <w:r w:rsidR="00AA005C" w:rsidRPr="003D52E6">
              <w:rPr>
                <w:b/>
                <w:lang w:val="en-GB"/>
              </w:rPr>
              <w:t xml:space="preserve">tudents </w:t>
            </w:r>
            <w:r w:rsidRPr="003D52E6">
              <w:rPr>
                <w:b/>
                <w:lang w:val="en-GB"/>
              </w:rPr>
              <w:t xml:space="preserve">will be </w:t>
            </w:r>
            <w:r w:rsidR="00AA005C" w:rsidRPr="003D52E6">
              <w:rPr>
                <w:b/>
                <w:lang w:val="en-GB"/>
              </w:rPr>
              <w:t>taught during this topic/unit</w:t>
            </w:r>
          </w:p>
        </w:tc>
      </w:tr>
      <w:tr w:rsidR="008315F1" w:rsidRPr="003D52E6" w14:paraId="09BEEACA" w14:textId="77777777" w:rsidTr="007B04C0">
        <w:trPr>
          <w:trHeight w:val="640"/>
        </w:trPr>
        <w:tc>
          <w:tcPr>
            <w:tcW w:w="10632" w:type="dxa"/>
          </w:tcPr>
          <w:p w14:paraId="0D8F55A8" w14:textId="1F4C04DE" w:rsidR="00651F14" w:rsidRPr="003D52E6" w:rsidRDefault="00651F14" w:rsidP="00843F11">
            <w:pPr>
              <w:rPr>
                <w:lang w:val="en-GB"/>
              </w:rPr>
            </w:pPr>
          </w:p>
          <w:p w14:paraId="76941B8B" w14:textId="77777777" w:rsidR="00843F11" w:rsidRPr="00C1785F" w:rsidRDefault="003249D5" w:rsidP="00843F11">
            <w:pPr>
              <w:rPr>
                <w:b/>
                <w:lang w:val="en-GB"/>
              </w:rPr>
            </w:pPr>
            <w:r w:rsidRPr="00C1785F">
              <w:rPr>
                <w:b/>
                <w:lang w:val="en-GB"/>
              </w:rPr>
              <w:t>Unit 1</w:t>
            </w:r>
          </w:p>
          <w:p w14:paraId="216A1AA3" w14:textId="6AC20725" w:rsidR="003249D5" w:rsidRDefault="00C1785F" w:rsidP="00843F11">
            <w:pPr>
              <w:rPr>
                <w:lang w:val="en-GB"/>
              </w:rPr>
            </w:pPr>
            <w:r>
              <w:rPr>
                <w:lang w:val="en-GB"/>
              </w:rPr>
              <w:t xml:space="preserve">Neural growth, variables, neurological development, neural pathways, atypical development, gross and fine motor skills, genetic disorders, constructivist approach, schema, scaffolding, egocentric, centration, phonemes, operant conditioning, modes of cognitive representation. </w:t>
            </w:r>
          </w:p>
          <w:p w14:paraId="48D96ECA" w14:textId="7B2B6162" w:rsidR="003249D5" w:rsidRPr="00C1785F" w:rsidRDefault="003249D5" w:rsidP="00843F11">
            <w:pPr>
              <w:rPr>
                <w:b/>
                <w:lang w:val="en-GB"/>
              </w:rPr>
            </w:pPr>
            <w:r w:rsidRPr="00C1785F">
              <w:rPr>
                <w:b/>
                <w:lang w:val="en-GB"/>
              </w:rPr>
              <w:t>Unit 2</w:t>
            </w:r>
          </w:p>
          <w:p w14:paraId="29EC17A7" w14:textId="77777777" w:rsidR="00C1785F" w:rsidRDefault="00C1785F" w:rsidP="00C1785F">
            <w:pPr>
              <w:rPr>
                <w:lang w:val="en-GB"/>
              </w:rPr>
            </w:pPr>
            <w:r>
              <w:rPr>
                <w:lang w:val="en-GB"/>
              </w:rPr>
              <w:t xml:space="preserve">Linguistic phase, phonemes, key person, receptive language, behaviourist theory, innate theory, Roger Brown, Vygotsky, Skinner, Chomsky, Brunner theories, Conductive hearing loss, Makaton, </w:t>
            </w:r>
            <w:proofErr w:type="spellStart"/>
            <w:r>
              <w:rPr>
                <w:lang w:val="en-GB"/>
              </w:rPr>
              <w:t>parentese</w:t>
            </w:r>
            <w:proofErr w:type="spellEnd"/>
            <w:r>
              <w:rPr>
                <w:lang w:val="en-GB"/>
              </w:rPr>
              <w:t>, phonic awareness, syntax, semantic.</w:t>
            </w:r>
          </w:p>
          <w:p w14:paraId="4A43E66F" w14:textId="77777777" w:rsidR="00C1785F" w:rsidRDefault="00C1785F" w:rsidP="00843F11">
            <w:pPr>
              <w:rPr>
                <w:lang w:val="en-GB"/>
              </w:rPr>
            </w:pPr>
          </w:p>
          <w:p w14:paraId="7134982D" w14:textId="1199803D" w:rsidR="003249D5" w:rsidRPr="003D52E6" w:rsidRDefault="003249D5" w:rsidP="00843F11">
            <w:pPr>
              <w:rPr>
                <w:lang w:val="en-GB"/>
              </w:rPr>
            </w:pPr>
          </w:p>
        </w:tc>
      </w:tr>
      <w:tr w:rsidR="00717220" w:rsidRPr="003D52E6" w14:paraId="0BD4097E" w14:textId="77777777" w:rsidTr="00D57FF3">
        <w:tc>
          <w:tcPr>
            <w:tcW w:w="10632" w:type="dxa"/>
            <w:shd w:val="clear" w:color="auto" w:fill="E2EFD9" w:themeFill="accent6" w:themeFillTint="33"/>
          </w:tcPr>
          <w:p w14:paraId="7C420558" w14:textId="71D83BBA" w:rsidR="00717220" w:rsidRPr="003D52E6" w:rsidRDefault="003B1C40">
            <w:pPr>
              <w:rPr>
                <w:b/>
                <w:lang w:val="en-GB"/>
              </w:rPr>
            </w:pPr>
            <w:r w:rsidRPr="003D52E6">
              <w:rPr>
                <w:b/>
                <w:lang w:val="en-GB"/>
              </w:rPr>
              <w:t xml:space="preserve">Plan for Assessment </w:t>
            </w:r>
          </w:p>
        </w:tc>
      </w:tr>
      <w:tr w:rsidR="00717220" w:rsidRPr="003D52E6" w14:paraId="56B7F9FC" w14:textId="77777777" w:rsidTr="00D57FF3">
        <w:tc>
          <w:tcPr>
            <w:tcW w:w="10632" w:type="dxa"/>
          </w:tcPr>
          <w:p w14:paraId="03C48B17" w14:textId="77777777" w:rsidR="00C1785F" w:rsidRDefault="00C1785F" w:rsidP="004F3C65">
            <w:pPr>
              <w:jc w:val="both"/>
              <w:rPr>
                <w:b/>
                <w:lang w:val="en-GB"/>
              </w:rPr>
            </w:pPr>
          </w:p>
          <w:p w14:paraId="70F374F9" w14:textId="1FB8ED94" w:rsidR="003D52E6" w:rsidRDefault="00C1785F" w:rsidP="00C1785F">
            <w:pPr>
              <w:jc w:val="both"/>
              <w:rPr>
                <w:b/>
                <w:lang w:val="en-GB"/>
              </w:rPr>
            </w:pPr>
            <w:r>
              <w:rPr>
                <w:b/>
                <w:lang w:val="en-GB"/>
              </w:rPr>
              <w:t xml:space="preserve">Unit </w:t>
            </w:r>
            <w:r w:rsidR="003D52E6" w:rsidRPr="003D52E6">
              <w:rPr>
                <w:b/>
                <w:lang w:val="en-GB"/>
              </w:rPr>
              <w:t>1</w:t>
            </w:r>
            <w:r>
              <w:rPr>
                <w:b/>
                <w:lang w:val="en-GB"/>
              </w:rPr>
              <w:t xml:space="preserve"> &amp; 2</w:t>
            </w:r>
          </w:p>
          <w:p w14:paraId="147F142B" w14:textId="6A358172" w:rsidR="00C1785F" w:rsidRDefault="00C1785F" w:rsidP="00C1785F">
            <w:pPr>
              <w:jc w:val="both"/>
              <w:rPr>
                <w:b/>
                <w:lang w:val="en-GB"/>
              </w:rPr>
            </w:pPr>
          </w:p>
          <w:p w14:paraId="45099608" w14:textId="77777777" w:rsidR="00C1785F" w:rsidRPr="001706D3" w:rsidRDefault="00C1785F" w:rsidP="00C1785F">
            <w:pPr>
              <w:jc w:val="both"/>
              <w:rPr>
                <w:rFonts w:ascii="Arial" w:hAnsi="Arial" w:cs="Arial"/>
                <w:lang w:val="en-GB"/>
              </w:rPr>
            </w:pPr>
            <w:r w:rsidRPr="001706D3">
              <w:rPr>
                <w:rFonts w:ascii="Arial" w:hAnsi="Arial" w:cs="Arial"/>
                <w:u w:val="single"/>
                <w:lang w:val="en-GB"/>
              </w:rPr>
              <w:t>Assessment 1</w:t>
            </w:r>
            <w:r w:rsidRPr="001706D3">
              <w:rPr>
                <w:rFonts w:ascii="Arial" w:hAnsi="Arial" w:cs="Arial"/>
                <w:lang w:val="en-GB"/>
              </w:rPr>
              <w:t xml:space="preserve"> – Students will have an in-class assessment at the end of the autumn </w:t>
            </w:r>
            <w:proofErr w:type="gramStart"/>
            <w:r w:rsidRPr="001706D3">
              <w:rPr>
                <w:rFonts w:ascii="Arial" w:hAnsi="Arial" w:cs="Arial"/>
                <w:lang w:val="en-GB"/>
              </w:rPr>
              <w:t>half-term</w:t>
            </w:r>
            <w:proofErr w:type="gramEnd"/>
            <w:r w:rsidRPr="001706D3">
              <w:rPr>
                <w:rFonts w:ascii="Arial" w:hAnsi="Arial" w:cs="Arial"/>
                <w:lang w:val="en-GB"/>
              </w:rPr>
              <w:t>.</w:t>
            </w:r>
          </w:p>
          <w:p w14:paraId="1BCD8DBF" w14:textId="77777777" w:rsidR="00C1785F" w:rsidRPr="001706D3" w:rsidRDefault="00C1785F" w:rsidP="00C1785F">
            <w:pPr>
              <w:jc w:val="both"/>
              <w:rPr>
                <w:rFonts w:ascii="Arial" w:hAnsi="Arial" w:cs="Arial"/>
                <w:lang w:val="en-GB"/>
              </w:rPr>
            </w:pPr>
          </w:p>
          <w:p w14:paraId="37C38DE3" w14:textId="77777777" w:rsidR="00C1785F" w:rsidRPr="001706D3" w:rsidRDefault="00C1785F" w:rsidP="00C1785F">
            <w:pPr>
              <w:jc w:val="both"/>
              <w:rPr>
                <w:rFonts w:ascii="Arial" w:hAnsi="Arial" w:cs="Arial"/>
                <w:lang w:val="en-GB"/>
              </w:rPr>
            </w:pPr>
            <w:r w:rsidRPr="001706D3">
              <w:rPr>
                <w:rFonts w:ascii="Arial" w:hAnsi="Arial" w:cs="Arial"/>
                <w:u w:val="single"/>
                <w:lang w:val="en-GB"/>
              </w:rPr>
              <w:t>Assessment 2 –</w:t>
            </w:r>
            <w:r w:rsidRPr="001706D3">
              <w:rPr>
                <w:rFonts w:ascii="Arial" w:hAnsi="Arial" w:cs="Arial"/>
                <w:lang w:val="en-GB"/>
              </w:rPr>
              <w:t>Students will have an in-class assessment at the end of autumn term.</w:t>
            </w:r>
          </w:p>
          <w:p w14:paraId="64270B77" w14:textId="77777777" w:rsidR="00C1785F" w:rsidRPr="001706D3" w:rsidRDefault="00C1785F" w:rsidP="00C1785F">
            <w:pPr>
              <w:jc w:val="both"/>
              <w:rPr>
                <w:rFonts w:ascii="Arial" w:hAnsi="Arial" w:cs="Arial"/>
                <w:lang w:val="en-GB"/>
              </w:rPr>
            </w:pPr>
          </w:p>
          <w:p w14:paraId="48EFB171" w14:textId="77777777" w:rsidR="00C1785F" w:rsidRPr="001706D3" w:rsidRDefault="00C1785F" w:rsidP="00C1785F">
            <w:pPr>
              <w:jc w:val="both"/>
              <w:rPr>
                <w:rFonts w:ascii="Arial" w:hAnsi="Arial" w:cs="Arial"/>
                <w:lang w:val="en-GB"/>
              </w:rPr>
            </w:pPr>
            <w:r w:rsidRPr="001706D3">
              <w:rPr>
                <w:rFonts w:ascii="Arial" w:hAnsi="Arial" w:cs="Arial"/>
                <w:u w:val="single"/>
                <w:lang w:val="en-GB"/>
              </w:rPr>
              <w:t>Assessment 3</w:t>
            </w:r>
            <w:r w:rsidRPr="001706D3">
              <w:rPr>
                <w:rFonts w:ascii="Arial" w:hAnsi="Arial" w:cs="Arial"/>
                <w:lang w:val="en-GB"/>
              </w:rPr>
              <w:t xml:space="preserve"> – Students will undertake a mini mock exam at the end of spring </w:t>
            </w:r>
            <w:proofErr w:type="gramStart"/>
            <w:r w:rsidRPr="001706D3">
              <w:rPr>
                <w:rFonts w:ascii="Arial" w:hAnsi="Arial" w:cs="Arial"/>
                <w:lang w:val="en-GB"/>
              </w:rPr>
              <w:t>half-term</w:t>
            </w:r>
            <w:proofErr w:type="gramEnd"/>
            <w:r w:rsidRPr="001706D3">
              <w:rPr>
                <w:rFonts w:ascii="Arial" w:hAnsi="Arial" w:cs="Arial"/>
                <w:lang w:val="en-GB"/>
              </w:rPr>
              <w:t>.</w:t>
            </w:r>
          </w:p>
          <w:p w14:paraId="2E771465" w14:textId="77777777" w:rsidR="00C1785F" w:rsidRPr="001706D3" w:rsidRDefault="00C1785F" w:rsidP="00C1785F">
            <w:pPr>
              <w:jc w:val="both"/>
              <w:rPr>
                <w:rFonts w:ascii="Arial" w:hAnsi="Arial" w:cs="Arial"/>
                <w:lang w:val="en-GB"/>
              </w:rPr>
            </w:pPr>
          </w:p>
          <w:p w14:paraId="6819CB13" w14:textId="61800D89" w:rsidR="00C1785F" w:rsidRPr="001706D3" w:rsidRDefault="00C1785F" w:rsidP="00C1785F">
            <w:pPr>
              <w:jc w:val="both"/>
              <w:rPr>
                <w:rFonts w:ascii="Arial" w:hAnsi="Arial" w:cs="Arial"/>
                <w:b/>
                <w:lang w:val="en-GB"/>
              </w:rPr>
            </w:pPr>
          </w:p>
          <w:p w14:paraId="21B3EBBA" w14:textId="77777777" w:rsidR="00C1785F" w:rsidRPr="003D52E6" w:rsidRDefault="00C1785F" w:rsidP="00C1785F">
            <w:pPr>
              <w:jc w:val="both"/>
              <w:rPr>
                <w:b/>
                <w:lang w:val="en-GB"/>
              </w:rPr>
            </w:pPr>
          </w:p>
          <w:p w14:paraId="5C3307BE" w14:textId="77777777" w:rsidR="004F3C65" w:rsidRPr="003D52E6" w:rsidRDefault="004F3C65" w:rsidP="004F3C65">
            <w:pPr>
              <w:jc w:val="both"/>
              <w:rPr>
                <w:b/>
                <w:lang w:val="en-GB"/>
              </w:rPr>
            </w:pPr>
          </w:p>
          <w:p w14:paraId="04233BC0" w14:textId="34AFED65" w:rsidR="004F3C65" w:rsidRPr="003D52E6" w:rsidRDefault="004F3C65" w:rsidP="004F3C65">
            <w:pPr>
              <w:jc w:val="both"/>
              <w:rPr>
                <w:b/>
                <w:lang w:val="en-GB"/>
              </w:rPr>
            </w:pPr>
          </w:p>
        </w:tc>
      </w:tr>
    </w:tbl>
    <w:p w14:paraId="1CE33F4D" w14:textId="0A74C09C" w:rsidR="00F95822" w:rsidRPr="003D52E6" w:rsidRDefault="00F95822">
      <w:pPr>
        <w:rPr>
          <w:lang w:val="en-GB"/>
        </w:rPr>
      </w:pPr>
    </w:p>
    <w:p w14:paraId="3C0DD892" w14:textId="7A3A1FD8" w:rsidR="007B1995" w:rsidRPr="003D52E6" w:rsidRDefault="007B1995">
      <w:pPr>
        <w:rPr>
          <w:lang w:val="en-GB"/>
        </w:rPr>
      </w:pPr>
    </w:p>
    <w:p w14:paraId="22E49443" w14:textId="36188C4E" w:rsidR="007B1995" w:rsidRPr="003D52E6" w:rsidRDefault="007B1995">
      <w:pPr>
        <w:rPr>
          <w:lang w:val="en-GB"/>
        </w:rPr>
      </w:pPr>
    </w:p>
    <w:p w14:paraId="6542BD36" w14:textId="56608F34" w:rsidR="00312C50" w:rsidRPr="003D52E6" w:rsidRDefault="00312C50">
      <w:pPr>
        <w:rPr>
          <w:lang w:val="en-GB"/>
        </w:rPr>
      </w:pPr>
    </w:p>
    <w:sectPr w:rsidR="00312C50" w:rsidRPr="003D52E6"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E7F"/>
    <w:multiLevelType w:val="hybridMultilevel"/>
    <w:tmpl w:val="FD6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83B31"/>
    <w:multiLevelType w:val="hybridMultilevel"/>
    <w:tmpl w:val="1822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65504"/>
    <w:multiLevelType w:val="hybridMultilevel"/>
    <w:tmpl w:val="CCAE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F377F"/>
    <w:multiLevelType w:val="hybridMultilevel"/>
    <w:tmpl w:val="A9BE5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F71B7"/>
    <w:multiLevelType w:val="hybridMultilevel"/>
    <w:tmpl w:val="B988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8059A"/>
    <w:multiLevelType w:val="hybridMultilevel"/>
    <w:tmpl w:val="2A44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2F33"/>
    <w:multiLevelType w:val="hybridMultilevel"/>
    <w:tmpl w:val="FB20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D183D"/>
    <w:multiLevelType w:val="hybridMultilevel"/>
    <w:tmpl w:val="2DF4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126E3"/>
    <w:multiLevelType w:val="hybridMultilevel"/>
    <w:tmpl w:val="15C6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B5D62A2"/>
    <w:multiLevelType w:val="hybridMultilevel"/>
    <w:tmpl w:val="5C940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322EC"/>
    <w:multiLevelType w:val="hybridMultilevel"/>
    <w:tmpl w:val="DBEC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73D7F"/>
    <w:multiLevelType w:val="hybridMultilevel"/>
    <w:tmpl w:val="CB6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33C4C63"/>
    <w:multiLevelType w:val="hybridMultilevel"/>
    <w:tmpl w:val="6DC2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B44500C"/>
    <w:multiLevelType w:val="hybridMultilevel"/>
    <w:tmpl w:val="2C9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E91075A"/>
    <w:multiLevelType w:val="hybridMultilevel"/>
    <w:tmpl w:val="5E8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6763A"/>
    <w:multiLevelType w:val="hybridMultilevel"/>
    <w:tmpl w:val="D0E46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375096"/>
    <w:multiLevelType w:val="hybridMultilevel"/>
    <w:tmpl w:val="233E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5"/>
  </w:num>
  <w:num w:numId="4">
    <w:abstractNumId w:val="29"/>
  </w:num>
  <w:num w:numId="5">
    <w:abstractNumId w:val="6"/>
  </w:num>
  <w:num w:numId="6">
    <w:abstractNumId w:val="27"/>
  </w:num>
  <w:num w:numId="7">
    <w:abstractNumId w:val="19"/>
  </w:num>
  <w:num w:numId="8">
    <w:abstractNumId w:val="24"/>
  </w:num>
  <w:num w:numId="9">
    <w:abstractNumId w:val="31"/>
  </w:num>
  <w:num w:numId="10">
    <w:abstractNumId w:val="1"/>
  </w:num>
  <w:num w:numId="11">
    <w:abstractNumId w:val="23"/>
  </w:num>
  <w:num w:numId="12">
    <w:abstractNumId w:val="14"/>
  </w:num>
  <w:num w:numId="13">
    <w:abstractNumId w:val="18"/>
  </w:num>
  <w:num w:numId="14">
    <w:abstractNumId w:val="15"/>
  </w:num>
  <w:num w:numId="15">
    <w:abstractNumId w:val="17"/>
  </w:num>
  <w:num w:numId="16">
    <w:abstractNumId w:val="7"/>
  </w:num>
  <w:num w:numId="17">
    <w:abstractNumId w:val="8"/>
  </w:num>
  <w:num w:numId="18">
    <w:abstractNumId w:val="26"/>
  </w:num>
  <w:num w:numId="19">
    <w:abstractNumId w:val="4"/>
  </w:num>
  <w:num w:numId="20">
    <w:abstractNumId w:val="30"/>
  </w:num>
  <w:num w:numId="21">
    <w:abstractNumId w:val="28"/>
  </w:num>
  <w:num w:numId="22">
    <w:abstractNumId w:val="20"/>
  </w:num>
  <w:num w:numId="23">
    <w:abstractNumId w:val="11"/>
  </w:num>
  <w:num w:numId="24">
    <w:abstractNumId w:val="3"/>
  </w:num>
  <w:num w:numId="25">
    <w:abstractNumId w:val="13"/>
  </w:num>
  <w:num w:numId="26">
    <w:abstractNumId w:val="21"/>
  </w:num>
  <w:num w:numId="27">
    <w:abstractNumId w:val="22"/>
  </w:num>
  <w:num w:numId="28">
    <w:abstractNumId w:val="10"/>
  </w:num>
  <w:num w:numId="29">
    <w:abstractNumId w:val="16"/>
  </w:num>
  <w:num w:numId="30">
    <w:abstractNumId w:val="5"/>
  </w:num>
  <w:num w:numId="31">
    <w:abstractNumId w:val="0"/>
  </w:num>
  <w:num w:numId="32">
    <w:abstractNumId w:val="32"/>
  </w:num>
  <w:num w:numId="33">
    <w:abstractNumId w:val="3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7C3"/>
    <w:rsid w:val="000368B9"/>
    <w:rsid w:val="0005018A"/>
    <w:rsid w:val="0005502E"/>
    <w:rsid w:val="00066137"/>
    <w:rsid w:val="0007733D"/>
    <w:rsid w:val="00077870"/>
    <w:rsid w:val="000A6CD9"/>
    <w:rsid w:val="000C3865"/>
    <w:rsid w:val="000F762B"/>
    <w:rsid w:val="001000DD"/>
    <w:rsid w:val="001008AD"/>
    <w:rsid w:val="00122AA1"/>
    <w:rsid w:val="0012392A"/>
    <w:rsid w:val="00166FEB"/>
    <w:rsid w:val="00196217"/>
    <w:rsid w:val="001A2BA4"/>
    <w:rsid w:val="001C5F99"/>
    <w:rsid w:val="001D31C5"/>
    <w:rsid w:val="001F093C"/>
    <w:rsid w:val="00204EA6"/>
    <w:rsid w:val="00226561"/>
    <w:rsid w:val="00255136"/>
    <w:rsid w:val="00256283"/>
    <w:rsid w:val="002A7471"/>
    <w:rsid w:val="002E2075"/>
    <w:rsid w:val="002E3DD3"/>
    <w:rsid w:val="002F66E2"/>
    <w:rsid w:val="00312C50"/>
    <w:rsid w:val="003249D5"/>
    <w:rsid w:val="003250F7"/>
    <w:rsid w:val="003323DA"/>
    <w:rsid w:val="00341A93"/>
    <w:rsid w:val="003465A2"/>
    <w:rsid w:val="00351D50"/>
    <w:rsid w:val="00373102"/>
    <w:rsid w:val="00375C96"/>
    <w:rsid w:val="003B1C40"/>
    <w:rsid w:val="003D52E6"/>
    <w:rsid w:val="003D5CE7"/>
    <w:rsid w:val="00401BEE"/>
    <w:rsid w:val="004124B4"/>
    <w:rsid w:val="004643CB"/>
    <w:rsid w:val="004720C9"/>
    <w:rsid w:val="004A3838"/>
    <w:rsid w:val="004B4D51"/>
    <w:rsid w:val="004C5DF7"/>
    <w:rsid w:val="004C740E"/>
    <w:rsid w:val="004D0F52"/>
    <w:rsid w:val="004F3865"/>
    <w:rsid w:val="004F3C65"/>
    <w:rsid w:val="005151C4"/>
    <w:rsid w:val="005328D1"/>
    <w:rsid w:val="0054237E"/>
    <w:rsid w:val="00572DC4"/>
    <w:rsid w:val="005F5BFF"/>
    <w:rsid w:val="005F617D"/>
    <w:rsid w:val="00603FC3"/>
    <w:rsid w:val="006133FF"/>
    <w:rsid w:val="006262B9"/>
    <w:rsid w:val="00651F14"/>
    <w:rsid w:val="00652642"/>
    <w:rsid w:val="00664176"/>
    <w:rsid w:val="006B3466"/>
    <w:rsid w:val="006B6F74"/>
    <w:rsid w:val="006B7BD1"/>
    <w:rsid w:val="006D7BA7"/>
    <w:rsid w:val="006E589C"/>
    <w:rsid w:val="006E5B6C"/>
    <w:rsid w:val="00717220"/>
    <w:rsid w:val="007369B8"/>
    <w:rsid w:val="007723FB"/>
    <w:rsid w:val="0077730C"/>
    <w:rsid w:val="00792234"/>
    <w:rsid w:val="00792A67"/>
    <w:rsid w:val="007A3C6B"/>
    <w:rsid w:val="007B04C0"/>
    <w:rsid w:val="007B1995"/>
    <w:rsid w:val="00811223"/>
    <w:rsid w:val="00822276"/>
    <w:rsid w:val="0082692D"/>
    <w:rsid w:val="008315F1"/>
    <w:rsid w:val="00843F11"/>
    <w:rsid w:val="00845B03"/>
    <w:rsid w:val="00850C21"/>
    <w:rsid w:val="008F273F"/>
    <w:rsid w:val="008F472A"/>
    <w:rsid w:val="009127EC"/>
    <w:rsid w:val="009218EA"/>
    <w:rsid w:val="009362CB"/>
    <w:rsid w:val="00941795"/>
    <w:rsid w:val="00945C69"/>
    <w:rsid w:val="009666C4"/>
    <w:rsid w:val="00970470"/>
    <w:rsid w:val="00996488"/>
    <w:rsid w:val="009968A1"/>
    <w:rsid w:val="009D020D"/>
    <w:rsid w:val="009D03DC"/>
    <w:rsid w:val="009F36E3"/>
    <w:rsid w:val="009F4EE7"/>
    <w:rsid w:val="00A97352"/>
    <w:rsid w:val="00AA005C"/>
    <w:rsid w:val="00AA00D7"/>
    <w:rsid w:val="00AB16D0"/>
    <w:rsid w:val="00AC1394"/>
    <w:rsid w:val="00AD4C30"/>
    <w:rsid w:val="00AE533F"/>
    <w:rsid w:val="00B114D1"/>
    <w:rsid w:val="00B120C0"/>
    <w:rsid w:val="00B16942"/>
    <w:rsid w:val="00B2592B"/>
    <w:rsid w:val="00B45D97"/>
    <w:rsid w:val="00B736FF"/>
    <w:rsid w:val="00BA2324"/>
    <w:rsid w:val="00BD29F2"/>
    <w:rsid w:val="00BD477F"/>
    <w:rsid w:val="00BD6535"/>
    <w:rsid w:val="00BE38D9"/>
    <w:rsid w:val="00C1785F"/>
    <w:rsid w:val="00C308AF"/>
    <w:rsid w:val="00C70FC6"/>
    <w:rsid w:val="00C72A78"/>
    <w:rsid w:val="00C8586A"/>
    <w:rsid w:val="00C91F12"/>
    <w:rsid w:val="00C94001"/>
    <w:rsid w:val="00CE6016"/>
    <w:rsid w:val="00CF578F"/>
    <w:rsid w:val="00D06802"/>
    <w:rsid w:val="00D11E7A"/>
    <w:rsid w:val="00D239EE"/>
    <w:rsid w:val="00D37E4F"/>
    <w:rsid w:val="00D41C18"/>
    <w:rsid w:val="00D42DF2"/>
    <w:rsid w:val="00D530E8"/>
    <w:rsid w:val="00D57FF3"/>
    <w:rsid w:val="00D80364"/>
    <w:rsid w:val="00DA526D"/>
    <w:rsid w:val="00DB7D75"/>
    <w:rsid w:val="00DF4BEB"/>
    <w:rsid w:val="00DF5028"/>
    <w:rsid w:val="00E06CC5"/>
    <w:rsid w:val="00E97261"/>
    <w:rsid w:val="00EC61FE"/>
    <w:rsid w:val="00ED3696"/>
    <w:rsid w:val="00EE61CE"/>
    <w:rsid w:val="00EF6FA2"/>
    <w:rsid w:val="00F13747"/>
    <w:rsid w:val="00F30C8B"/>
    <w:rsid w:val="00F564A7"/>
    <w:rsid w:val="00F56CCA"/>
    <w:rsid w:val="00F62155"/>
    <w:rsid w:val="00F648AC"/>
    <w:rsid w:val="00F85737"/>
    <w:rsid w:val="00F908AB"/>
    <w:rsid w:val="00F95822"/>
    <w:rsid w:val="00FB55D6"/>
    <w:rsid w:val="00FC1E1B"/>
    <w:rsid w:val="00FD1AA6"/>
    <w:rsid w:val="00FD5D4F"/>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702D4-6B22-41E0-A717-348FADC4ED6D}"/>
</file>

<file path=customXml/itemProps2.xml><?xml version="1.0" encoding="utf-8"?>
<ds:datastoreItem xmlns:ds="http://schemas.openxmlformats.org/officeDocument/2006/customXml" ds:itemID="{BE502B2C-CF94-4DF1-A3CD-4EA4900ACCCE}"/>
</file>

<file path=customXml/itemProps3.xml><?xml version="1.0" encoding="utf-8"?>
<ds:datastoreItem xmlns:ds="http://schemas.openxmlformats.org/officeDocument/2006/customXml" ds:itemID="{A2D10608-C4D1-4021-8AC1-0B0CD84659C6}"/>
</file>

<file path=docProps/app.xml><?xml version="1.0" encoding="utf-8"?>
<Properties xmlns="http://schemas.openxmlformats.org/officeDocument/2006/extended-properties" xmlns:vt="http://schemas.openxmlformats.org/officeDocument/2006/docPropsVTypes">
  <Template>Normal</Template>
  <TotalTime>41</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7</cp:revision>
  <cp:lastPrinted>2019-11-03T11:53:00Z</cp:lastPrinted>
  <dcterms:created xsi:type="dcterms:W3CDTF">2021-09-05T19:58:00Z</dcterms:created>
  <dcterms:modified xsi:type="dcterms:W3CDTF">2021-09-06T15:16:00Z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