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A3BCD" w:rsidRDefault="009218EA">
      <w:pPr>
        <w:rPr>
          <w:rFonts w:ascii="Arial" w:hAnsi="Arial" w:cs="Arial"/>
          <w:b/>
          <w:lang w:val="en-GB"/>
        </w:rPr>
      </w:pPr>
      <w:r w:rsidRPr="009A3BCD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A3BCD">
        <w:rPr>
          <w:rFonts w:ascii="Arial" w:hAnsi="Arial" w:cs="Arial"/>
          <w:b/>
          <w:lang w:val="en-GB"/>
        </w:rPr>
        <w:t>St Mary’s Catholic School</w:t>
      </w:r>
    </w:p>
    <w:p w14:paraId="55E6A78B" w14:textId="36BDF499" w:rsidR="00341A93" w:rsidRPr="009A3BCD" w:rsidRDefault="007B1995">
      <w:pPr>
        <w:rPr>
          <w:rFonts w:ascii="Arial" w:hAnsi="Arial" w:cs="Arial"/>
          <w:lang w:val="en-GB"/>
        </w:rPr>
      </w:pPr>
      <w:r w:rsidRPr="009A3BCD">
        <w:rPr>
          <w:rFonts w:ascii="Arial" w:hAnsi="Arial" w:cs="Arial"/>
          <w:lang w:val="en-GB"/>
        </w:rPr>
        <w:t>Department</w:t>
      </w:r>
      <w:r w:rsidR="00341A93" w:rsidRPr="009A3BCD">
        <w:rPr>
          <w:rFonts w:ascii="Arial" w:hAnsi="Arial" w:cs="Arial"/>
          <w:lang w:val="en-GB"/>
        </w:rPr>
        <w:t xml:space="preserve"> Curriculum Planning</w:t>
      </w:r>
    </w:p>
    <w:p w14:paraId="3B5CEA64" w14:textId="0C7555A2" w:rsidR="00D57FF3" w:rsidRPr="009A3BCD" w:rsidRDefault="009218EA">
      <w:pPr>
        <w:rPr>
          <w:rFonts w:ascii="Arial" w:hAnsi="Arial" w:cs="Arial"/>
          <w:lang w:val="en-GB"/>
        </w:rPr>
      </w:pPr>
      <w:r w:rsidRPr="009A3BCD">
        <w:rPr>
          <w:rFonts w:ascii="Arial" w:hAnsi="Arial" w:cs="Arial"/>
          <w:lang w:val="en-GB"/>
        </w:rPr>
        <w:t>Department</w:t>
      </w:r>
      <w:r w:rsidR="00AB16D0" w:rsidRPr="009A3BCD">
        <w:rPr>
          <w:rFonts w:ascii="Arial" w:hAnsi="Arial" w:cs="Arial"/>
          <w:lang w:val="en-GB"/>
        </w:rPr>
        <w:t xml:space="preserve">: </w:t>
      </w:r>
      <w:r w:rsidR="007723FB" w:rsidRPr="009A3BCD">
        <w:rPr>
          <w:rFonts w:ascii="Arial" w:hAnsi="Arial" w:cs="Arial"/>
          <w:lang w:val="en-GB"/>
        </w:rPr>
        <w:t>Health and Social Care</w:t>
      </w:r>
    </w:p>
    <w:p w14:paraId="0C62E66C" w14:textId="77777777" w:rsidR="007723FB" w:rsidRPr="009A3BCD" w:rsidRDefault="007723FB">
      <w:pPr>
        <w:rPr>
          <w:rFonts w:ascii="Arial" w:hAnsi="Arial" w:cs="Arial"/>
          <w:lang w:val="en-GB"/>
        </w:rPr>
      </w:pPr>
    </w:p>
    <w:p w14:paraId="2C4D949B" w14:textId="249CD583" w:rsidR="00D06802" w:rsidRPr="009A3BCD" w:rsidRDefault="00312C50">
      <w:pPr>
        <w:rPr>
          <w:rFonts w:ascii="Arial" w:hAnsi="Arial" w:cs="Arial"/>
          <w:lang w:val="en-GB"/>
        </w:rPr>
      </w:pPr>
      <w:r w:rsidRPr="009A3BCD">
        <w:rPr>
          <w:rFonts w:ascii="Arial" w:hAnsi="Arial" w:cs="Arial"/>
          <w:lang w:val="en-GB"/>
        </w:rPr>
        <w:t>Year Group</w:t>
      </w:r>
      <w:r w:rsidR="009218EA" w:rsidRPr="009A3BCD">
        <w:rPr>
          <w:rFonts w:ascii="Arial" w:hAnsi="Arial" w:cs="Arial"/>
          <w:lang w:val="en-GB"/>
        </w:rPr>
        <w:t xml:space="preserve">: </w:t>
      </w:r>
      <w:r w:rsidR="009D03DC" w:rsidRPr="009A3BCD">
        <w:rPr>
          <w:rFonts w:ascii="Arial" w:hAnsi="Arial" w:cs="Arial"/>
          <w:lang w:val="en-GB"/>
        </w:rPr>
        <w:t>12</w:t>
      </w:r>
    </w:p>
    <w:p w14:paraId="374AD201" w14:textId="77777777" w:rsidR="00312C50" w:rsidRPr="009A3BCD" w:rsidRDefault="00312C50">
      <w:pPr>
        <w:rPr>
          <w:rFonts w:ascii="Arial" w:hAnsi="Arial" w:cs="Arial"/>
          <w:lang w:val="en-GB"/>
        </w:rPr>
      </w:pPr>
    </w:p>
    <w:p w14:paraId="4C674615" w14:textId="1DAB91A8" w:rsidR="00312C50" w:rsidRPr="009A3BCD" w:rsidRDefault="00F95822">
      <w:pPr>
        <w:rPr>
          <w:rFonts w:ascii="Arial" w:hAnsi="Arial" w:cs="Arial"/>
          <w:b/>
          <w:color w:val="7030A0"/>
          <w:lang w:val="en-GB"/>
        </w:rPr>
      </w:pPr>
      <w:r w:rsidRPr="009A3BCD">
        <w:rPr>
          <w:rFonts w:ascii="Arial" w:hAnsi="Arial" w:cs="Arial"/>
          <w:lang w:val="en-GB"/>
        </w:rPr>
        <w:t>This is the plan for the taught curriculum during a</w:t>
      </w:r>
      <w:r w:rsidR="00AB16D0" w:rsidRPr="009A3BCD">
        <w:rPr>
          <w:rFonts w:ascii="Arial" w:hAnsi="Arial" w:cs="Arial"/>
          <w:lang w:val="en-GB"/>
        </w:rPr>
        <w:t>chievement</w:t>
      </w:r>
      <w:r w:rsidRPr="009A3BCD">
        <w:rPr>
          <w:rFonts w:ascii="Arial" w:hAnsi="Arial" w:cs="Arial"/>
          <w:lang w:val="en-GB"/>
        </w:rPr>
        <w:t xml:space="preserve"> period</w:t>
      </w:r>
      <w:r w:rsidR="009D03DC" w:rsidRPr="009A3BCD">
        <w:rPr>
          <w:rFonts w:ascii="Arial" w:hAnsi="Arial" w:cs="Arial"/>
          <w:lang w:val="en-GB"/>
        </w:rPr>
        <w:t xml:space="preserve"> 1</w:t>
      </w:r>
      <w:r w:rsidR="00A10A94" w:rsidRPr="009A3BCD">
        <w:rPr>
          <w:rFonts w:ascii="Arial" w:hAnsi="Arial" w:cs="Arial"/>
          <w:lang w:val="en-GB"/>
        </w:rPr>
        <w:t xml:space="preserve"> &amp;</w:t>
      </w:r>
      <w:r w:rsidR="005328D1" w:rsidRPr="009A3BCD">
        <w:rPr>
          <w:rFonts w:ascii="Arial" w:hAnsi="Arial" w:cs="Arial"/>
          <w:lang w:val="en-GB"/>
        </w:rPr>
        <w:t xml:space="preserve"> 2</w:t>
      </w:r>
      <w:r w:rsidR="009D03DC" w:rsidRPr="009A3BCD">
        <w:rPr>
          <w:rFonts w:ascii="Arial" w:hAnsi="Arial" w:cs="Arial"/>
          <w:lang w:val="en-GB"/>
        </w:rPr>
        <w:t>.</w:t>
      </w:r>
    </w:p>
    <w:p w14:paraId="30F865AD" w14:textId="77777777" w:rsidR="00AA005C" w:rsidRPr="009A3BCD" w:rsidRDefault="00AA005C">
      <w:pPr>
        <w:rPr>
          <w:rFonts w:ascii="Arial" w:hAnsi="Arial" w:cs="Arial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9A3BCD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9A3BCD" w:rsidRDefault="007B1995" w:rsidP="00717220">
            <w:pPr>
              <w:tabs>
                <w:tab w:val="right" w:pos="8794"/>
              </w:tabs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B</w:t>
            </w:r>
            <w:r w:rsidR="00AA005C" w:rsidRPr="009A3BCD">
              <w:rPr>
                <w:rFonts w:ascii="Arial" w:hAnsi="Arial" w:cs="Arial"/>
                <w:b/>
                <w:lang w:val="en-GB"/>
              </w:rPr>
              <w:t>rief summary of the topic/work being covered during this period</w:t>
            </w:r>
            <w:r w:rsidR="00717220" w:rsidRPr="009A3BCD">
              <w:rPr>
                <w:rFonts w:ascii="Arial" w:hAnsi="Arial" w:cs="Arial"/>
                <w:b/>
                <w:lang w:val="en-GB"/>
              </w:rPr>
              <w:tab/>
            </w:r>
          </w:p>
        </w:tc>
      </w:tr>
      <w:tr w:rsidR="008315F1" w:rsidRPr="009A3BCD" w14:paraId="4BF128E6" w14:textId="77777777" w:rsidTr="00D57FF3">
        <w:tc>
          <w:tcPr>
            <w:tcW w:w="10632" w:type="dxa"/>
          </w:tcPr>
          <w:p w14:paraId="27E86A2C" w14:textId="51FBF838" w:rsidR="004720C9" w:rsidRPr="009A3BCD" w:rsidRDefault="004720C9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</w:p>
          <w:p w14:paraId="2D982CB3" w14:textId="57E31BC7" w:rsidR="003323DA" w:rsidRPr="009A3BCD" w:rsidRDefault="00DB7D75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Single and Double Award</w:t>
            </w:r>
            <w:r w:rsidR="00F908AB" w:rsidRPr="009A3BC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3323DA" w:rsidRPr="009A3BCD">
              <w:rPr>
                <w:rFonts w:ascii="Arial" w:hAnsi="Arial" w:cs="Arial"/>
                <w:b/>
                <w:lang w:val="en-GB"/>
              </w:rPr>
              <w:t>Combined</w:t>
            </w:r>
          </w:p>
          <w:p w14:paraId="3EAD85EC" w14:textId="21F78667" w:rsidR="003323DA" w:rsidRPr="009A3BCD" w:rsidRDefault="003323DA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EBE4D3" w14:textId="01B15FDD" w:rsidR="003323DA" w:rsidRPr="009A3BCD" w:rsidRDefault="003323DA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1 Human Lifespan Development</w:t>
            </w:r>
            <w:r w:rsidR="00941795" w:rsidRPr="009A3BCD">
              <w:rPr>
                <w:rFonts w:ascii="Arial" w:hAnsi="Arial" w:cs="Arial"/>
                <w:b/>
                <w:lang w:val="en-GB"/>
              </w:rPr>
              <w:t xml:space="preserve"> (Exam Unit)</w:t>
            </w:r>
            <w:r w:rsidRPr="009A3BCD">
              <w:rPr>
                <w:rFonts w:ascii="Arial" w:hAnsi="Arial" w:cs="Arial"/>
                <w:b/>
                <w:lang w:val="en-GB"/>
              </w:rPr>
              <w:t>:</w:t>
            </w:r>
          </w:p>
          <w:p w14:paraId="46F34B1C" w14:textId="77777777" w:rsidR="003323DA" w:rsidRPr="009A3BCD" w:rsidRDefault="003323DA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0C567EA" w14:textId="0FFFA242" w:rsidR="003323DA" w:rsidRPr="009A3BCD" w:rsidRDefault="005151C4" w:rsidP="005151C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Students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are i</w:t>
            </w:r>
            <w:r w:rsidR="00652642" w:rsidRPr="009A3BCD">
              <w:rPr>
                <w:rFonts w:ascii="Arial" w:hAnsi="Arial" w:cs="Arial"/>
                <w:lang w:val="en-GB"/>
              </w:rPr>
              <w:t>ntroduced</w:t>
            </w:r>
            <w:proofErr w:type="gramEnd"/>
            <w:r w:rsidR="00652642" w:rsidRPr="009A3BCD">
              <w:rPr>
                <w:rFonts w:ascii="Arial" w:hAnsi="Arial" w:cs="Arial"/>
                <w:lang w:val="en-GB"/>
              </w:rPr>
              <w:t xml:space="preserve"> to</w:t>
            </w:r>
            <w:r w:rsidR="003323DA" w:rsidRPr="009A3BCD">
              <w:rPr>
                <w:rFonts w:ascii="Arial" w:hAnsi="Arial" w:cs="Arial"/>
                <w:lang w:val="en-GB"/>
              </w:rPr>
              <w:t xml:space="preserve"> growth and</w:t>
            </w:r>
            <w:r w:rsidR="00F908AB" w:rsidRPr="009A3BCD">
              <w:rPr>
                <w:rFonts w:ascii="Arial" w:hAnsi="Arial" w:cs="Arial"/>
                <w:lang w:val="en-GB"/>
              </w:rPr>
              <w:t xml:space="preserve"> development</w:t>
            </w:r>
            <w:r w:rsidR="003323DA" w:rsidRPr="009A3BCD">
              <w:rPr>
                <w:rFonts w:ascii="Arial" w:hAnsi="Arial" w:cs="Arial"/>
                <w:lang w:val="en-GB"/>
              </w:rPr>
              <w:t>, the different influences on development and how this related to their care needs.</w:t>
            </w:r>
          </w:p>
          <w:p w14:paraId="305B2B4D" w14:textId="6048DA52" w:rsidR="003323DA" w:rsidRPr="009A3BCD" w:rsidRDefault="003323DA" w:rsidP="003323D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Students will explore the physical, intellectual, emotional and social needs of individuals. </w:t>
            </w:r>
          </w:p>
          <w:p w14:paraId="4B9477D3" w14:textId="1E0CECBE" w:rsidR="002A7471" w:rsidRPr="009A3BCD" w:rsidRDefault="003323DA" w:rsidP="005151C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Students will learn about key theorists that provide insight into development including, Piaget, Chomsky, Bowlby, Shaffer and Emmerson, Maslow and Cummings. </w:t>
            </w:r>
          </w:p>
          <w:p w14:paraId="3800484C" w14:textId="71C79260" w:rsidR="002A7471" w:rsidRPr="009A3BCD" w:rsidRDefault="003323DA" w:rsidP="003323D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Students will consider the nature vs. nurture debate including theoretical perspectives from Gesell’s Maturation theory, Bandura’s social learning theory and the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stress diathesis theory model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 xml:space="preserve">. </w:t>
            </w:r>
          </w:p>
          <w:p w14:paraId="6661DA6D" w14:textId="2B0B67FF" w:rsidR="00C70FC6" w:rsidRPr="009A3BCD" w:rsidRDefault="00C70FC6" w:rsidP="00375C96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9DE3F06" w14:textId="7E95538D" w:rsidR="00DF4BEB" w:rsidRPr="009A3BCD" w:rsidRDefault="00DF4BEB" w:rsidP="00DF4BEB">
            <w:pPr>
              <w:pStyle w:val="ListParagraph"/>
              <w:rPr>
                <w:rFonts w:ascii="Arial" w:hAnsi="Arial" w:cs="Arial"/>
                <w:b/>
                <w:lang w:val="en-GB"/>
              </w:rPr>
            </w:pPr>
          </w:p>
          <w:p w14:paraId="493EEAEA" w14:textId="0744E6F1" w:rsidR="003323DA" w:rsidRPr="009A3BCD" w:rsidRDefault="003323DA" w:rsidP="003323DA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2 Working in the health and Social Care Sector</w:t>
            </w:r>
            <w:r w:rsidR="00941795" w:rsidRPr="009A3BCD">
              <w:rPr>
                <w:rFonts w:ascii="Arial" w:hAnsi="Arial" w:cs="Arial"/>
                <w:b/>
                <w:lang w:val="en-GB"/>
              </w:rPr>
              <w:t xml:space="preserve"> (Exam Unit) </w:t>
            </w:r>
          </w:p>
          <w:p w14:paraId="699666B2" w14:textId="605DA546" w:rsidR="003323DA" w:rsidRPr="009A3BCD" w:rsidRDefault="003323DA" w:rsidP="003323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Students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are introduced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 xml:space="preserve"> to the roles and responsibilities o</w:t>
            </w:r>
            <w:r w:rsidR="00375C96" w:rsidRPr="009A3BCD">
              <w:rPr>
                <w:rFonts w:ascii="Arial" w:hAnsi="Arial" w:cs="Arial"/>
                <w:lang w:val="en-GB"/>
              </w:rPr>
              <w:t>f professionals with the sector including following policies and procedures and adhering to the 6Cs and NHS care values.</w:t>
            </w:r>
          </w:p>
          <w:p w14:paraId="1CFD6ACA" w14:textId="38AEE1FE" w:rsidR="003323DA" w:rsidRPr="009A3BCD" w:rsidRDefault="003323DA" w:rsidP="003323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Students will explore the working practices of professionals including</w:t>
            </w:r>
            <w:r w:rsidR="00375C96" w:rsidRPr="009A3BCD">
              <w:rPr>
                <w:rFonts w:ascii="Arial" w:hAnsi="Arial" w:cs="Arial"/>
                <w:lang w:val="en-GB"/>
              </w:rPr>
              <w:t xml:space="preserve"> promoting anti-discriminatory practices, empowering service users, maintaining confidentiality and promotion of good communication.</w:t>
            </w:r>
          </w:p>
          <w:p w14:paraId="5BFBB573" w14:textId="1BD2AC25" w:rsidR="00375C96" w:rsidRPr="009A3BCD" w:rsidRDefault="00375C96" w:rsidP="00375C9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Students will explore how professionals keep service users safe considering risk assessment, waste disposal, lone worker policy, RIDDOR, COSHH, PPE, handwashing and safeguarding</w:t>
            </w:r>
            <w:r w:rsidR="003323DA" w:rsidRPr="009A3BCD">
              <w:rPr>
                <w:rFonts w:ascii="Arial" w:hAnsi="Arial" w:cs="Arial"/>
                <w:lang w:val="en-GB"/>
              </w:rPr>
              <w:t xml:space="preserve">. </w:t>
            </w:r>
          </w:p>
          <w:p w14:paraId="2C98FC8E" w14:textId="1B7AE3EF" w:rsidR="00375C96" w:rsidRPr="009A3BCD" w:rsidRDefault="003323DA" w:rsidP="00A11AD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Students will learn about </w:t>
            </w:r>
            <w:r w:rsidR="00375C96" w:rsidRPr="009A3BCD">
              <w:rPr>
                <w:rFonts w:ascii="Arial" w:hAnsi="Arial" w:cs="Arial"/>
                <w:lang w:val="en-GB"/>
              </w:rPr>
              <w:t xml:space="preserve">information management and safeguarding policies in the workplace, considering the Data Protection Act and whistleblowing procedures. They will review several cases of poor practice including the Winterbourne Hospital and Mid-Staffordshire Hospital Trust enquiry. </w:t>
            </w:r>
          </w:p>
          <w:p w14:paraId="000F9014" w14:textId="77777777" w:rsidR="00DB7D75" w:rsidRPr="009A3BCD" w:rsidRDefault="00DB7D75" w:rsidP="00DB7D75">
            <w:pPr>
              <w:pStyle w:val="ListParagraph"/>
              <w:rPr>
                <w:rFonts w:ascii="Arial" w:hAnsi="Arial" w:cs="Arial"/>
                <w:b/>
                <w:lang w:val="en-GB"/>
              </w:rPr>
            </w:pPr>
          </w:p>
          <w:p w14:paraId="0BBC69CE" w14:textId="77AB2041" w:rsidR="00941795" w:rsidRPr="009A3BCD" w:rsidRDefault="00DB7D75" w:rsidP="001706D3">
            <w:pPr>
              <w:tabs>
                <w:tab w:val="left" w:pos="3243"/>
              </w:tabs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Double Award Only</w:t>
            </w:r>
            <w:r w:rsidR="00941795" w:rsidRPr="009A3BCD">
              <w:rPr>
                <w:rFonts w:ascii="Arial" w:hAnsi="Arial" w:cs="Arial"/>
                <w:b/>
                <w:lang w:val="en-GB"/>
              </w:rPr>
              <w:t>*</w:t>
            </w:r>
            <w:r w:rsidR="00375C96" w:rsidRPr="009A3BCD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45CA8A84" w14:textId="560EBD59" w:rsidR="001706D3" w:rsidRPr="009A3BCD" w:rsidRDefault="001706D3" w:rsidP="001706D3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CE65DC0" w14:textId="29C31430" w:rsidR="001706D3" w:rsidRPr="009A3BCD" w:rsidRDefault="001706D3" w:rsidP="001706D3">
            <w:pPr>
              <w:jc w:val="both"/>
              <w:rPr>
                <w:rFonts w:ascii="Arial" w:hAnsi="Arial" w:cs="Arial"/>
                <w:b/>
              </w:rPr>
            </w:pPr>
            <w:r w:rsidRPr="009A3BCD">
              <w:rPr>
                <w:rFonts w:ascii="Arial" w:hAnsi="Arial" w:cs="Arial"/>
                <w:b/>
              </w:rPr>
              <w:t>Unit 14: Physiological Disorders and their care (Coursework unit)</w:t>
            </w:r>
          </w:p>
          <w:p w14:paraId="3CA771A8" w14:textId="77777777" w:rsidR="001706D3" w:rsidRPr="009A3BCD" w:rsidRDefault="001706D3" w:rsidP="001706D3">
            <w:pPr>
              <w:jc w:val="both"/>
              <w:rPr>
                <w:rFonts w:ascii="Arial" w:hAnsi="Arial" w:cs="Arial"/>
                <w:b/>
              </w:rPr>
            </w:pPr>
          </w:p>
          <w:p w14:paraId="7EC00AE0" w14:textId="77777777" w:rsidR="001706D3" w:rsidRPr="009A3BCD" w:rsidRDefault="001706D3" w:rsidP="001706D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9A3BCD">
              <w:rPr>
                <w:rFonts w:ascii="Arial" w:hAnsi="Arial" w:cs="Arial"/>
              </w:rPr>
              <w:t>Students will investigate the causes and effects of physiological disorders.</w:t>
            </w:r>
          </w:p>
          <w:p w14:paraId="286E3334" w14:textId="77777777" w:rsidR="001706D3" w:rsidRPr="009A3BCD" w:rsidRDefault="001706D3" w:rsidP="001706D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9A3BCD">
              <w:rPr>
                <w:rFonts w:ascii="Arial" w:hAnsi="Arial" w:cs="Arial"/>
              </w:rPr>
              <w:t>They will research and examine the investigation and diagnosis of physiological disorders.</w:t>
            </w:r>
          </w:p>
          <w:p w14:paraId="26AF273C" w14:textId="77777777" w:rsidR="001706D3" w:rsidRPr="009A3BCD" w:rsidRDefault="001706D3" w:rsidP="001706D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9A3BCD">
              <w:rPr>
                <w:rFonts w:ascii="Arial" w:hAnsi="Arial" w:cs="Arial"/>
              </w:rPr>
              <w:t>Students will investigate treatment and support for service users with physiological disorders.</w:t>
            </w:r>
          </w:p>
          <w:p w14:paraId="0E82D9B3" w14:textId="2880FE5E" w:rsidR="001706D3" w:rsidRPr="009A3BCD" w:rsidRDefault="001706D3" w:rsidP="001706D3">
            <w:p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</w:rPr>
              <w:t>Students will develop skills to design a treatment plan for service users with a physiological disorder to meet their needs</w:t>
            </w:r>
          </w:p>
          <w:p w14:paraId="346B2B3A" w14:textId="77777777" w:rsidR="00941795" w:rsidRPr="009A3BCD" w:rsidRDefault="00941795" w:rsidP="00941795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99C0CAC" w14:textId="77777777" w:rsidR="009D03DC" w:rsidRPr="009A3BCD" w:rsidRDefault="009D03DC" w:rsidP="009D03DC">
            <w:pPr>
              <w:pStyle w:val="ListParagraph"/>
              <w:rPr>
                <w:rFonts w:ascii="Arial" w:hAnsi="Arial" w:cs="Arial"/>
                <w:b/>
                <w:lang w:val="en-GB"/>
              </w:rPr>
            </w:pPr>
          </w:p>
          <w:p w14:paraId="19C23ED5" w14:textId="0FB5D0F1" w:rsidR="009D03DC" w:rsidRPr="009A3BCD" w:rsidRDefault="009D03DC" w:rsidP="009D03DC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7B1995" w:rsidRPr="009A3BCD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9A3BCD" w:rsidRDefault="006E5B6C" w:rsidP="007B1995">
            <w:p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P</w:t>
            </w:r>
            <w:r w:rsidR="007B1995" w:rsidRPr="009A3BCD">
              <w:rPr>
                <w:rFonts w:ascii="Arial" w:hAnsi="Arial" w:cs="Arial"/>
                <w:b/>
                <w:lang w:val="en-GB"/>
              </w:rPr>
              <w:t>rior knowledge needed for this unit/topic from previous teaching</w:t>
            </w:r>
          </w:p>
        </w:tc>
      </w:tr>
      <w:tr w:rsidR="007B1995" w:rsidRPr="009A3BCD" w14:paraId="5B1F8AB2" w14:textId="77777777" w:rsidTr="00D57FF3">
        <w:tc>
          <w:tcPr>
            <w:tcW w:w="10632" w:type="dxa"/>
          </w:tcPr>
          <w:p w14:paraId="65CFBCCC" w14:textId="2E235D78" w:rsidR="007369B8" w:rsidRPr="009A3BCD" w:rsidRDefault="007369B8" w:rsidP="00BD477F">
            <w:pPr>
              <w:rPr>
                <w:rFonts w:ascii="Arial" w:hAnsi="Arial" w:cs="Arial"/>
                <w:lang w:val="en-GB"/>
              </w:rPr>
            </w:pPr>
          </w:p>
          <w:p w14:paraId="4F73A7D8" w14:textId="77777777" w:rsidR="00ED3696" w:rsidRPr="009A3BCD" w:rsidRDefault="00941795" w:rsidP="00BD477F">
            <w:p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Although it is not necessary to have any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prior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 xml:space="preserve"> knowledge of the topics to be studied, those who have completed </w:t>
            </w:r>
            <w:r w:rsidR="00ED3696" w:rsidRPr="009A3BCD">
              <w:rPr>
                <w:rFonts w:ascii="Arial" w:hAnsi="Arial" w:cs="Arial"/>
                <w:lang w:val="en-GB"/>
              </w:rPr>
              <w:t xml:space="preserve">the Tech Award in HSC in KS4 will have a foundation of knowledge to build upon. </w:t>
            </w:r>
          </w:p>
          <w:p w14:paraId="10D79DE1" w14:textId="77777777" w:rsidR="00ED3696" w:rsidRPr="009A3BCD" w:rsidRDefault="00ED3696" w:rsidP="00BD477F">
            <w:pPr>
              <w:rPr>
                <w:rFonts w:ascii="Arial" w:hAnsi="Arial" w:cs="Arial"/>
                <w:lang w:val="en-GB"/>
              </w:rPr>
            </w:pPr>
          </w:p>
          <w:p w14:paraId="1DC5912C" w14:textId="2BF6AAE2" w:rsidR="00941795" w:rsidRPr="009A3BCD" w:rsidRDefault="00ED3696" w:rsidP="00BD477F">
            <w:p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lastRenderedPageBreak/>
              <w:t xml:space="preserve">Unit 1 and Unit 2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are further developed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 xml:space="preserve"> from KS4, as they build upon knowledge of how individuals develop and the roles and responsibilities of professionals in a health setting. However, the curriculum in KS5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is more focused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 xml:space="preserve"> on theory that underpins development and the policies and procedures that underpin working practices. </w:t>
            </w:r>
          </w:p>
          <w:p w14:paraId="40B6BF35" w14:textId="3BEA3B1F" w:rsidR="00ED3696" w:rsidRPr="009A3BCD" w:rsidRDefault="00ED3696" w:rsidP="007723FB">
            <w:p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. </w:t>
            </w:r>
          </w:p>
          <w:p w14:paraId="30878C56" w14:textId="57C52203" w:rsidR="00ED3696" w:rsidRPr="009A3BCD" w:rsidRDefault="00ED3696" w:rsidP="007723FB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AA005C" w:rsidRPr="009A3BCD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9A3BCD" w:rsidRDefault="007B1995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lastRenderedPageBreak/>
              <w:t>R</w:t>
            </w:r>
            <w:r w:rsidR="00AA005C" w:rsidRPr="009A3BCD">
              <w:rPr>
                <w:rFonts w:ascii="Arial" w:hAnsi="Arial" w:cs="Arial"/>
                <w:b/>
                <w:lang w:val="en-GB"/>
              </w:rPr>
              <w:t>ationale for students studying this unit/topic</w:t>
            </w:r>
            <w:r w:rsidRPr="009A3BCD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8315F1" w:rsidRPr="009A3BCD" w14:paraId="5B871996" w14:textId="77777777" w:rsidTr="00D57FF3">
        <w:tc>
          <w:tcPr>
            <w:tcW w:w="10632" w:type="dxa"/>
          </w:tcPr>
          <w:p w14:paraId="207CCB31" w14:textId="6D9733F1" w:rsidR="007B1995" w:rsidRPr="009A3BCD" w:rsidRDefault="00D42DF2" w:rsidP="007B1995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Rationale for studying these</w:t>
            </w:r>
            <w:r w:rsidR="007B1995" w:rsidRPr="009A3BCD">
              <w:rPr>
                <w:rFonts w:ascii="Arial" w:hAnsi="Arial" w:cs="Arial"/>
                <w:b/>
                <w:lang w:val="en-GB"/>
              </w:rPr>
              <w:t xml:space="preserve"> topic</w:t>
            </w:r>
            <w:r w:rsidRPr="009A3BCD">
              <w:rPr>
                <w:rFonts w:ascii="Arial" w:hAnsi="Arial" w:cs="Arial"/>
                <w:b/>
                <w:lang w:val="en-GB"/>
              </w:rPr>
              <w:t>s</w:t>
            </w:r>
          </w:p>
          <w:p w14:paraId="55F47E0B" w14:textId="40D3DE13" w:rsidR="00077870" w:rsidRPr="009A3BCD" w:rsidRDefault="00077870" w:rsidP="007B1995">
            <w:pPr>
              <w:rPr>
                <w:rFonts w:ascii="Arial" w:hAnsi="Arial" w:cs="Arial"/>
                <w:lang w:val="en-GB"/>
              </w:rPr>
            </w:pPr>
          </w:p>
          <w:p w14:paraId="1AFB475C" w14:textId="2403656A" w:rsidR="00F13747" w:rsidRPr="009A3BCD" w:rsidRDefault="00F13747" w:rsidP="007B1995">
            <w:p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Unit 1 and Unit 2 are mandatory exam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units,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 xml:space="preserve"> they are studied in Y12 </w:t>
            </w:r>
            <w:r w:rsidR="009362CB" w:rsidRPr="009A3BCD">
              <w:rPr>
                <w:rFonts w:ascii="Arial" w:hAnsi="Arial" w:cs="Arial"/>
                <w:lang w:val="en-GB"/>
              </w:rPr>
              <w:t xml:space="preserve">as they are an excellent foundation for further learning. </w:t>
            </w:r>
          </w:p>
          <w:p w14:paraId="5FE61331" w14:textId="2DF25F9B" w:rsidR="00F13747" w:rsidRPr="009A3BCD" w:rsidRDefault="00F13747" w:rsidP="007B1995">
            <w:pPr>
              <w:rPr>
                <w:rFonts w:ascii="Arial" w:hAnsi="Arial" w:cs="Arial"/>
                <w:lang w:val="en-GB"/>
              </w:rPr>
            </w:pPr>
          </w:p>
          <w:p w14:paraId="464A9B7E" w14:textId="0BFB5060" w:rsidR="009362CB" w:rsidRPr="009A3BCD" w:rsidRDefault="001706D3" w:rsidP="007B1995">
            <w:p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Unit 14</w:t>
            </w:r>
            <w:r w:rsidR="009362CB" w:rsidRPr="009A3BCD">
              <w:rPr>
                <w:rFonts w:ascii="Arial" w:hAnsi="Arial" w:cs="Arial"/>
                <w:lang w:val="en-GB"/>
              </w:rPr>
              <w:t xml:space="preserve"> (optional coursework unit) makes excellent links to unit 1 and 2 in relation to the individuals developmental needs and how professionals and services can support them. </w:t>
            </w:r>
          </w:p>
          <w:p w14:paraId="043488E4" w14:textId="77777777" w:rsidR="007369B8" w:rsidRPr="009A3BCD" w:rsidRDefault="007369B8" w:rsidP="007B1995">
            <w:pPr>
              <w:rPr>
                <w:rFonts w:ascii="Arial" w:hAnsi="Arial" w:cs="Arial"/>
                <w:lang w:val="en-GB"/>
              </w:rPr>
            </w:pPr>
          </w:p>
          <w:p w14:paraId="06425882" w14:textId="77777777" w:rsidR="004F3C65" w:rsidRPr="009A3BCD" w:rsidRDefault="004F3C65" w:rsidP="007B1995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40BA51EB" w14:textId="722E52A1" w:rsidR="004F3C65" w:rsidRPr="009A3BCD" w:rsidRDefault="007B1995" w:rsidP="004F3C65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9A3BCD">
              <w:rPr>
                <w:rFonts w:ascii="Arial" w:hAnsi="Arial" w:cs="Arial"/>
                <w:b/>
                <w:bCs/>
                <w:lang w:val="en-GB"/>
              </w:rPr>
              <w:t>Rationale for timing of this topic</w:t>
            </w:r>
          </w:p>
          <w:p w14:paraId="7624D602" w14:textId="7E32FDBD" w:rsidR="004C740E" w:rsidRPr="009A3BCD" w:rsidRDefault="004C740E" w:rsidP="004F3C65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  <w:p w14:paraId="1EEBA30F" w14:textId="21A83409" w:rsidR="001F093C" w:rsidRPr="009A3BCD" w:rsidRDefault="009362CB" w:rsidP="004F3C65">
            <w:pPr>
              <w:jc w:val="both"/>
              <w:rPr>
                <w:rFonts w:ascii="Arial" w:hAnsi="Arial" w:cs="Arial"/>
                <w:bCs/>
                <w:lang w:val="en-GB"/>
              </w:rPr>
            </w:pPr>
            <w:r w:rsidRPr="009A3BCD">
              <w:rPr>
                <w:rFonts w:ascii="Arial" w:hAnsi="Arial" w:cs="Arial"/>
                <w:bCs/>
                <w:lang w:val="en-GB"/>
              </w:rPr>
              <w:t xml:space="preserve">Unit 1 and Unit 2 </w:t>
            </w:r>
            <w:proofErr w:type="gramStart"/>
            <w:r w:rsidRPr="009A3BCD">
              <w:rPr>
                <w:rFonts w:ascii="Arial" w:hAnsi="Arial" w:cs="Arial"/>
                <w:bCs/>
                <w:lang w:val="en-GB"/>
              </w:rPr>
              <w:t>are studied</w:t>
            </w:r>
            <w:proofErr w:type="gramEnd"/>
            <w:r w:rsidRPr="009A3BCD">
              <w:rPr>
                <w:rFonts w:ascii="Arial" w:hAnsi="Arial" w:cs="Arial"/>
                <w:bCs/>
                <w:lang w:val="en-GB"/>
              </w:rPr>
              <w:t xml:space="preserve"> in Y12 so that students will have two further opportunities to re-sit these exams in Y13 if needed.</w:t>
            </w:r>
          </w:p>
          <w:p w14:paraId="4DC4E307" w14:textId="1546512C" w:rsidR="00BD29F2" w:rsidRPr="009A3BCD" w:rsidRDefault="00BD29F2" w:rsidP="004F3C65">
            <w:pPr>
              <w:jc w:val="both"/>
              <w:rPr>
                <w:rFonts w:ascii="Arial" w:hAnsi="Arial" w:cs="Arial"/>
                <w:bCs/>
                <w:lang w:val="en-GB"/>
              </w:rPr>
            </w:pPr>
          </w:p>
          <w:p w14:paraId="45A4BF5A" w14:textId="4A5CBC81" w:rsidR="00BD29F2" w:rsidRPr="009A3BCD" w:rsidRDefault="001706D3" w:rsidP="004F3C65">
            <w:pPr>
              <w:jc w:val="both"/>
              <w:rPr>
                <w:rFonts w:ascii="Arial" w:hAnsi="Arial" w:cs="Arial"/>
                <w:bCs/>
                <w:lang w:val="en-GB"/>
              </w:rPr>
            </w:pPr>
            <w:r w:rsidRPr="009A3BCD">
              <w:rPr>
                <w:rFonts w:ascii="Arial" w:hAnsi="Arial" w:cs="Arial"/>
                <w:bCs/>
                <w:lang w:val="en-GB"/>
              </w:rPr>
              <w:t>Unit 14</w:t>
            </w:r>
            <w:r w:rsidR="009362CB" w:rsidRPr="009A3BCD">
              <w:rPr>
                <w:rFonts w:ascii="Arial" w:hAnsi="Arial" w:cs="Arial"/>
                <w:bCs/>
                <w:lang w:val="en-GB"/>
              </w:rPr>
              <w:t xml:space="preserve"> is a 60GLH coursework unit that is one of the smaller optional units and is a good unit </w:t>
            </w:r>
            <w:proofErr w:type="gramStart"/>
            <w:r w:rsidR="009362CB" w:rsidRPr="009A3BCD">
              <w:rPr>
                <w:rFonts w:ascii="Arial" w:hAnsi="Arial" w:cs="Arial"/>
                <w:bCs/>
                <w:lang w:val="en-GB"/>
              </w:rPr>
              <w:t>to gradually introduce</w:t>
            </w:r>
            <w:proofErr w:type="gramEnd"/>
            <w:r w:rsidR="009362CB" w:rsidRPr="009A3BCD">
              <w:rPr>
                <w:rFonts w:ascii="Arial" w:hAnsi="Arial" w:cs="Arial"/>
                <w:bCs/>
                <w:lang w:val="en-GB"/>
              </w:rPr>
              <w:t xml:space="preserve"> students to assignment work in KS5. It has a very small first assignment that enables students to develop skills without being too overwhelmed.</w:t>
            </w:r>
          </w:p>
          <w:p w14:paraId="3F3BBFD1" w14:textId="737BCA4D" w:rsidR="00BD29F2" w:rsidRPr="009A3BCD" w:rsidRDefault="00BD29F2" w:rsidP="004F3C65">
            <w:pPr>
              <w:jc w:val="both"/>
              <w:rPr>
                <w:rFonts w:ascii="Arial" w:hAnsi="Arial" w:cs="Arial"/>
                <w:bCs/>
                <w:lang w:val="en-GB"/>
              </w:rPr>
            </w:pPr>
          </w:p>
          <w:p w14:paraId="27C56A2D" w14:textId="04E4761B" w:rsidR="00D57FF3" w:rsidRPr="009A3BCD" w:rsidRDefault="00D57FF3" w:rsidP="004F3C65">
            <w:pPr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</w:tr>
      <w:tr w:rsidR="00AA005C" w:rsidRPr="009A3BCD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9A3BCD" w:rsidRDefault="003B1C40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K</w:t>
            </w:r>
            <w:r w:rsidR="00AA005C" w:rsidRPr="009A3BCD">
              <w:rPr>
                <w:rFonts w:ascii="Arial" w:hAnsi="Arial" w:cs="Arial"/>
                <w:b/>
                <w:lang w:val="en-GB"/>
              </w:rPr>
              <w:t>ey concepts/ideas that are taught to students in this unit/topic</w:t>
            </w:r>
            <w:r w:rsidR="007B1995" w:rsidRPr="009A3BCD">
              <w:rPr>
                <w:rFonts w:ascii="Arial" w:hAnsi="Arial" w:cs="Arial"/>
                <w:b/>
                <w:lang w:val="en-GB"/>
              </w:rPr>
              <w:t xml:space="preserve">, including </w:t>
            </w:r>
            <w:r w:rsidRPr="009A3BCD">
              <w:rPr>
                <w:rFonts w:ascii="Arial" w:hAnsi="Arial" w:cs="Arial"/>
                <w:b/>
                <w:lang w:val="en-GB"/>
              </w:rPr>
              <w:t>a</w:t>
            </w:r>
            <w:r w:rsidR="007B1995" w:rsidRPr="009A3BCD">
              <w:rPr>
                <w:rFonts w:ascii="Arial" w:hAnsi="Arial" w:cs="Arial"/>
                <w:b/>
                <w:lang w:val="en-GB"/>
              </w:rPr>
              <w:t xml:space="preserve">ny </w:t>
            </w:r>
            <w:r w:rsidR="00F56CCA" w:rsidRPr="009A3BCD">
              <w:rPr>
                <w:rFonts w:ascii="Arial" w:hAnsi="Arial" w:cs="Arial"/>
                <w:b/>
                <w:lang w:val="en-GB"/>
              </w:rPr>
              <w:t xml:space="preserve">anticipated gaps in </w:t>
            </w:r>
            <w:r w:rsidR="007B1995" w:rsidRPr="009A3BCD">
              <w:rPr>
                <w:rFonts w:ascii="Arial" w:hAnsi="Arial" w:cs="Arial"/>
                <w:b/>
                <w:lang w:val="en-GB"/>
              </w:rPr>
              <w:t>knowledge</w:t>
            </w:r>
            <w:r w:rsidR="00F56CCA" w:rsidRPr="009A3BCD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9A3BCD">
              <w:rPr>
                <w:rFonts w:ascii="Arial" w:hAnsi="Arial" w:cs="Arial"/>
                <w:b/>
                <w:lang w:val="en-GB"/>
              </w:rPr>
              <w:t xml:space="preserve">and </w:t>
            </w:r>
            <w:r w:rsidR="007B1995" w:rsidRPr="009A3BCD">
              <w:rPr>
                <w:rFonts w:ascii="Arial" w:hAnsi="Arial" w:cs="Arial"/>
                <w:b/>
                <w:lang w:val="en-GB"/>
              </w:rPr>
              <w:t>plan</w:t>
            </w:r>
            <w:r w:rsidR="00F56CCA" w:rsidRPr="009A3BCD">
              <w:rPr>
                <w:rFonts w:ascii="Arial" w:hAnsi="Arial" w:cs="Arial"/>
                <w:b/>
                <w:lang w:val="en-GB"/>
              </w:rPr>
              <w:t xml:space="preserve"> to overcome</w:t>
            </w:r>
            <w:r w:rsidR="007B1995" w:rsidRPr="009A3BCD">
              <w:rPr>
                <w:rFonts w:ascii="Arial" w:hAnsi="Arial" w:cs="Arial"/>
                <w:b/>
                <w:lang w:val="en-GB"/>
              </w:rPr>
              <w:t xml:space="preserve"> these</w:t>
            </w:r>
          </w:p>
        </w:tc>
      </w:tr>
      <w:tr w:rsidR="008315F1" w:rsidRPr="009A3BCD" w14:paraId="70E88F15" w14:textId="77777777" w:rsidTr="00D57FF3">
        <w:tc>
          <w:tcPr>
            <w:tcW w:w="10632" w:type="dxa"/>
          </w:tcPr>
          <w:p w14:paraId="68E76F66" w14:textId="77777777" w:rsidR="009362CB" w:rsidRPr="009A3BCD" w:rsidRDefault="009362CB" w:rsidP="009362CB">
            <w:pPr>
              <w:pStyle w:val="ListParagraph"/>
              <w:jc w:val="both"/>
              <w:rPr>
                <w:rFonts w:ascii="Arial" w:hAnsi="Arial" w:cs="Arial"/>
                <w:lang w:val="en-GB"/>
              </w:rPr>
            </w:pPr>
          </w:p>
          <w:p w14:paraId="32F9205B" w14:textId="6A20B3E8" w:rsidR="009362CB" w:rsidRPr="009A3BCD" w:rsidRDefault="009362CB" w:rsidP="009362CB">
            <w:pPr>
              <w:pStyle w:val="ListParagraph"/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1:</w:t>
            </w:r>
          </w:p>
          <w:p w14:paraId="0B816BE9" w14:textId="10E2C47C" w:rsidR="00717220" w:rsidRPr="009A3BCD" w:rsidRDefault="00077870" w:rsidP="00F648A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Ex</w:t>
            </w:r>
            <w:r w:rsidR="009D03DC" w:rsidRPr="009A3BCD">
              <w:rPr>
                <w:rFonts w:ascii="Arial" w:hAnsi="Arial" w:cs="Arial"/>
                <w:lang w:val="en-GB"/>
              </w:rPr>
              <w:t xml:space="preserve">plore </w:t>
            </w:r>
            <w:r w:rsidR="009362CB" w:rsidRPr="009A3BCD">
              <w:rPr>
                <w:rFonts w:ascii="Arial" w:hAnsi="Arial" w:cs="Arial"/>
                <w:lang w:val="en-GB"/>
              </w:rPr>
              <w:t xml:space="preserve">physical, intellectual, emotional and </w:t>
            </w:r>
            <w:r w:rsidR="00066137" w:rsidRPr="009A3BCD">
              <w:rPr>
                <w:rFonts w:ascii="Arial" w:hAnsi="Arial" w:cs="Arial"/>
                <w:lang w:val="en-GB"/>
              </w:rPr>
              <w:t>social development</w:t>
            </w:r>
            <w:r w:rsidR="009362CB" w:rsidRPr="009A3BCD">
              <w:rPr>
                <w:rFonts w:ascii="Arial" w:hAnsi="Arial" w:cs="Arial"/>
                <w:lang w:val="en-GB"/>
              </w:rPr>
              <w:t xml:space="preserve"> across all life stages.</w:t>
            </w:r>
          </w:p>
          <w:p w14:paraId="639F6A46" w14:textId="3C4593D7" w:rsidR="00C308AF" w:rsidRPr="009A3BCD" w:rsidRDefault="009362CB" w:rsidP="00F648A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Construct sound opinions in support of and/ or against theoretical principals that underpin development (e.g. Chomsky, Piaget </w:t>
            </w:r>
            <w:r w:rsidR="00066137" w:rsidRPr="009A3BCD">
              <w:rPr>
                <w:rFonts w:ascii="Arial" w:hAnsi="Arial" w:cs="Arial"/>
                <w:lang w:val="en-GB"/>
              </w:rPr>
              <w:t>etc.</w:t>
            </w:r>
            <w:r w:rsidRPr="009A3BCD">
              <w:rPr>
                <w:rFonts w:ascii="Arial" w:hAnsi="Arial" w:cs="Arial"/>
                <w:lang w:val="en-GB"/>
              </w:rPr>
              <w:t>)</w:t>
            </w:r>
          </w:p>
          <w:p w14:paraId="7F63634F" w14:textId="33477A06" w:rsidR="004C740E" w:rsidRPr="009A3BCD" w:rsidRDefault="009D03DC" w:rsidP="00F648A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Understand</w:t>
            </w:r>
            <w:r w:rsidR="009362CB" w:rsidRPr="009A3BCD">
              <w:rPr>
                <w:rFonts w:ascii="Arial" w:hAnsi="Arial" w:cs="Arial"/>
                <w:lang w:val="en-GB"/>
              </w:rPr>
              <w:t xml:space="preserve"> the impact of development on self-esteem and self-worth.</w:t>
            </w:r>
          </w:p>
          <w:p w14:paraId="415B153F" w14:textId="40635D5D" w:rsidR="00204EA6" w:rsidRPr="009A3BCD" w:rsidRDefault="00843F11" w:rsidP="00843F11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To</w:t>
            </w:r>
            <w:r w:rsidR="009127EC" w:rsidRPr="009A3BCD">
              <w:rPr>
                <w:rFonts w:ascii="Arial" w:hAnsi="Arial" w:cs="Arial"/>
                <w:lang w:val="en-GB"/>
              </w:rPr>
              <w:t xml:space="preserve"> be able </w:t>
            </w:r>
            <w:proofErr w:type="gramStart"/>
            <w:r w:rsidR="009127EC" w:rsidRPr="009A3BCD">
              <w:rPr>
                <w:rFonts w:ascii="Arial" w:hAnsi="Arial" w:cs="Arial"/>
                <w:lang w:val="en-GB"/>
              </w:rPr>
              <w:t xml:space="preserve">to </w:t>
            </w:r>
            <w:r w:rsidR="00066137" w:rsidRPr="009A3BCD">
              <w:rPr>
                <w:rFonts w:ascii="Arial" w:hAnsi="Arial" w:cs="Arial"/>
                <w:lang w:val="en-GB"/>
              </w:rPr>
              <w:t xml:space="preserve">formally </w:t>
            </w:r>
            <w:r w:rsidR="009362CB" w:rsidRPr="009A3BCD">
              <w:rPr>
                <w:rFonts w:ascii="Arial" w:hAnsi="Arial" w:cs="Arial"/>
                <w:lang w:val="en-GB"/>
              </w:rPr>
              <w:t>debate</w:t>
            </w:r>
            <w:proofErr w:type="gramEnd"/>
            <w:r w:rsidR="009362CB" w:rsidRPr="009A3BCD">
              <w:rPr>
                <w:rFonts w:ascii="Arial" w:hAnsi="Arial" w:cs="Arial"/>
                <w:lang w:val="en-GB"/>
              </w:rPr>
              <w:t xml:space="preserve"> the nature </w:t>
            </w:r>
            <w:r w:rsidR="00066137" w:rsidRPr="009A3BCD">
              <w:rPr>
                <w:rFonts w:ascii="Arial" w:hAnsi="Arial" w:cs="Arial"/>
                <w:lang w:val="en-GB"/>
              </w:rPr>
              <w:t>vs. nurture debate, being able to consider opposing viewpoints.</w:t>
            </w:r>
            <w:r w:rsidR="004B4D51" w:rsidRPr="009A3BCD">
              <w:rPr>
                <w:rFonts w:ascii="Arial" w:hAnsi="Arial" w:cs="Arial"/>
                <w:lang w:val="en-GB"/>
              </w:rPr>
              <w:t xml:space="preserve"> </w:t>
            </w:r>
          </w:p>
          <w:p w14:paraId="3F017E9E" w14:textId="77777777" w:rsidR="004B4D51" w:rsidRPr="009A3BCD" w:rsidRDefault="004B4D51" w:rsidP="004B4D51">
            <w:pPr>
              <w:pStyle w:val="ListParagraph"/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8209FB8" w14:textId="77777777" w:rsidR="0012392A" w:rsidRPr="009A3BCD" w:rsidRDefault="00066137" w:rsidP="00066137">
            <w:pPr>
              <w:pStyle w:val="ListParagraph"/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2:</w:t>
            </w:r>
          </w:p>
          <w:p w14:paraId="1DB96034" w14:textId="211D17B4" w:rsidR="00066137" w:rsidRPr="009A3BCD" w:rsidRDefault="00066137" w:rsidP="0006613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Explore the roles and responsibilities of key professionals in the health and social care sector.</w:t>
            </w:r>
          </w:p>
          <w:p w14:paraId="115A88B9" w14:textId="5A9B0F31" w:rsidR="00066137" w:rsidRPr="009A3BCD" w:rsidRDefault="00066137" w:rsidP="0006613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Construct a sound understanding of working practices of each professional and how this underpins their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day to day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 xml:space="preserve"> practices. </w:t>
            </w:r>
          </w:p>
          <w:p w14:paraId="0757D39E" w14:textId="0CF05676" w:rsidR="00066137" w:rsidRPr="009A3BCD" w:rsidRDefault="00066137" w:rsidP="0006613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To be able to identify health and safety issues in a care setting and understand how to minimise the risk. </w:t>
            </w:r>
            <w:r w:rsidR="004B4D51" w:rsidRPr="009A3BCD">
              <w:rPr>
                <w:rFonts w:ascii="Arial" w:hAnsi="Arial" w:cs="Arial"/>
                <w:lang w:val="en-GB"/>
              </w:rPr>
              <w:t xml:space="preserve"> </w:t>
            </w:r>
          </w:p>
          <w:p w14:paraId="7B31AD4D" w14:textId="2751E2EE" w:rsidR="001706D3" w:rsidRPr="009A3BCD" w:rsidRDefault="001706D3" w:rsidP="001706D3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FFEE6F3" w14:textId="77777777" w:rsidR="001706D3" w:rsidRPr="009A3BCD" w:rsidRDefault="001706D3" w:rsidP="001706D3">
            <w:pPr>
              <w:pStyle w:val="ListParagraph"/>
              <w:jc w:val="both"/>
              <w:rPr>
                <w:rFonts w:ascii="Arial" w:hAnsi="Arial" w:cs="Arial"/>
                <w:lang w:val="en-GB"/>
              </w:rPr>
            </w:pPr>
          </w:p>
          <w:p w14:paraId="3181A2CB" w14:textId="048B4420" w:rsidR="001706D3" w:rsidRPr="009A3BCD" w:rsidRDefault="001706D3" w:rsidP="001706D3">
            <w:pPr>
              <w:pStyle w:val="ListParagraph"/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14:</w:t>
            </w:r>
          </w:p>
          <w:p w14:paraId="554F086E" w14:textId="77777777" w:rsidR="001706D3" w:rsidRPr="009A3BCD" w:rsidRDefault="001706D3" w:rsidP="001706D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9A3BCD">
              <w:rPr>
                <w:rFonts w:ascii="Arial" w:hAnsi="Arial" w:cs="Arial"/>
              </w:rPr>
              <w:t xml:space="preserve">Explore the various types of physiological disorders (e.g. asthma, diabetes, Parkinson disease)and effects on body systems and functions </w:t>
            </w:r>
          </w:p>
          <w:p w14:paraId="54035720" w14:textId="77777777" w:rsidR="001706D3" w:rsidRPr="009A3BCD" w:rsidRDefault="001706D3" w:rsidP="001706D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9A3BCD">
              <w:rPr>
                <w:rFonts w:ascii="Arial" w:hAnsi="Arial" w:cs="Arial"/>
              </w:rPr>
              <w:t>Review the risk factors and causes of physiological disorders and understand the various signs and symptoms of physiological disorders</w:t>
            </w:r>
            <w:r w:rsidRPr="009A3BCD">
              <w:rPr>
                <w:rFonts w:ascii="Arial" w:hAnsi="Arial" w:cs="Arial"/>
                <w:lang w:val="en-GB"/>
              </w:rPr>
              <w:t xml:space="preserve"> </w:t>
            </w:r>
          </w:p>
          <w:p w14:paraId="1F32476F" w14:textId="77777777" w:rsidR="001706D3" w:rsidRPr="009A3BCD" w:rsidRDefault="001706D3" w:rsidP="001706D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9A3BCD">
              <w:rPr>
                <w:rFonts w:ascii="Arial" w:hAnsi="Arial" w:cs="Arial"/>
              </w:rPr>
              <w:t xml:space="preserve">Research diagnostic procedures for physiological disorders and the treatment that </w:t>
            </w:r>
            <w:proofErr w:type="gramStart"/>
            <w:r w:rsidRPr="009A3BCD">
              <w:rPr>
                <w:rFonts w:ascii="Arial" w:hAnsi="Arial" w:cs="Arial"/>
              </w:rPr>
              <w:t>can be offered</w:t>
            </w:r>
            <w:proofErr w:type="gramEnd"/>
            <w:r w:rsidRPr="009A3BCD">
              <w:rPr>
                <w:rFonts w:ascii="Arial" w:hAnsi="Arial" w:cs="Arial"/>
              </w:rPr>
              <w:t>.</w:t>
            </w:r>
          </w:p>
          <w:p w14:paraId="51566B2A" w14:textId="62C048FE" w:rsidR="004B4D51" w:rsidRPr="009A3BCD" w:rsidRDefault="001706D3" w:rsidP="004B4D5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</w:rPr>
              <w:t xml:space="preserve">Plan treatment for an individual, including professionals who can support them. </w:t>
            </w:r>
          </w:p>
          <w:p w14:paraId="6784E8EC" w14:textId="5FDD8C26" w:rsidR="004B4D51" w:rsidRPr="009A3BCD" w:rsidRDefault="004B4D51" w:rsidP="004B4D51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AA005C" w:rsidRPr="009A3BCD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9A3BCD" w:rsidRDefault="003B1C40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lastRenderedPageBreak/>
              <w:t>New</w:t>
            </w:r>
            <w:r w:rsidR="004124B4" w:rsidRPr="009A3BC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AA005C" w:rsidRPr="009A3BCD">
              <w:rPr>
                <w:rFonts w:ascii="Arial" w:hAnsi="Arial" w:cs="Arial"/>
                <w:b/>
                <w:lang w:val="en-GB"/>
              </w:rPr>
              <w:t xml:space="preserve">key terminology </w:t>
            </w:r>
            <w:r w:rsidRPr="009A3BCD">
              <w:rPr>
                <w:rFonts w:ascii="Arial" w:hAnsi="Arial" w:cs="Arial"/>
                <w:b/>
                <w:lang w:val="en-GB"/>
              </w:rPr>
              <w:t>s</w:t>
            </w:r>
            <w:r w:rsidR="00AA005C" w:rsidRPr="009A3BCD">
              <w:rPr>
                <w:rFonts w:ascii="Arial" w:hAnsi="Arial" w:cs="Arial"/>
                <w:b/>
                <w:lang w:val="en-GB"/>
              </w:rPr>
              <w:t xml:space="preserve">tudents </w:t>
            </w:r>
            <w:r w:rsidRPr="009A3BCD">
              <w:rPr>
                <w:rFonts w:ascii="Arial" w:hAnsi="Arial" w:cs="Arial"/>
                <w:b/>
                <w:lang w:val="en-GB"/>
              </w:rPr>
              <w:t xml:space="preserve">will be </w:t>
            </w:r>
            <w:r w:rsidR="00AA005C" w:rsidRPr="009A3BCD">
              <w:rPr>
                <w:rFonts w:ascii="Arial" w:hAnsi="Arial" w:cs="Arial"/>
                <w:b/>
                <w:lang w:val="en-GB"/>
              </w:rPr>
              <w:t>taught during this topic/unit</w:t>
            </w:r>
          </w:p>
        </w:tc>
      </w:tr>
      <w:tr w:rsidR="008315F1" w:rsidRPr="009A3BCD" w14:paraId="09BEEACA" w14:textId="77777777" w:rsidTr="007B04C0">
        <w:trPr>
          <w:trHeight w:val="640"/>
        </w:trPr>
        <w:tc>
          <w:tcPr>
            <w:tcW w:w="10632" w:type="dxa"/>
          </w:tcPr>
          <w:p w14:paraId="020835C6" w14:textId="72E6F8A2" w:rsidR="00843F11" w:rsidRPr="009A3BCD" w:rsidRDefault="000A6CD9" w:rsidP="004F3C65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1</w:t>
            </w:r>
          </w:p>
          <w:p w14:paraId="1BEE88C4" w14:textId="60BB183A" w:rsidR="00843F11" w:rsidRPr="009A3BCD" w:rsidRDefault="000A6CD9" w:rsidP="00843F11">
            <w:p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 xml:space="preserve">Gross and fine motor skills, development norms, centile lines, primary and secondary characteristics, pregnancy and lactation, menopause, egocentric, abstract thinking, schemas, equilibrium / disequilibrium, conservation, language acquisition  device, attachment, emotional literacy, self-concept, maturation, stress-diathesis, genetic pre-disposition, positive and negative reinforcement. </w:t>
            </w:r>
          </w:p>
          <w:p w14:paraId="3B57A304" w14:textId="0017E92E" w:rsidR="00843F11" w:rsidRPr="009A3BCD" w:rsidRDefault="000A6CD9" w:rsidP="00843F11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2</w:t>
            </w:r>
          </w:p>
          <w:p w14:paraId="30592F40" w14:textId="3E08F985" w:rsidR="000A6CD9" w:rsidRPr="009A3BCD" w:rsidRDefault="000A6CD9" w:rsidP="00843F11">
            <w:p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Safeguarding, policies and procedures,</w:t>
            </w:r>
            <w:r w:rsidR="00C8586A" w:rsidRPr="009A3BCD">
              <w:rPr>
                <w:rFonts w:ascii="Arial" w:hAnsi="Arial" w:cs="Arial"/>
                <w:lang w:val="en-GB"/>
              </w:rPr>
              <w:t xml:space="preserve"> communication skills, 6 Cs of nursing, NHS values, </w:t>
            </w:r>
            <w:r w:rsidRPr="009A3BCD">
              <w:rPr>
                <w:rFonts w:ascii="Arial" w:hAnsi="Arial" w:cs="Arial"/>
                <w:lang w:val="en-GB"/>
              </w:rPr>
              <w:t xml:space="preserve"> empowerment, confidentiality, assistive technology, anti-discriminatory practice, care planning, individualised care, advocacy, risk, hazard, lone worker, clinical waste, </w:t>
            </w:r>
            <w:r w:rsidR="00C8586A" w:rsidRPr="009A3BCD">
              <w:rPr>
                <w:rFonts w:ascii="Arial" w:hAnsi="Arial" w:cs="Arial"/>
                <w:lang w:val="en-GB"/>
              </w:rPr>
              <w:t xml:space="preserve">RIDDOR, COSHH, Data Protection Act, Equality Act, accountability, preventative care, antenatal, postnatal, DBS, aids and adaptations, complementary therapies. </w:t>
            </w:r>
          </w:p>
          <w:p w14:paraId="7A26022A" w14:textId="52CE6833" w:rsidR="001706D3" w:rsidRPr="009A3BCD" w:rsidRDefault="001706D3" w:rsidP="001706D3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14</w:t>
            </w:r>
          </w:p>
          <w:p w14:paraId="40B192ED" w14:textId="0036D678" w:rsidR="001706D3" w:rsidRPr="009A3BCD" w:rsidRDefault="001706D3" w:rsidP="001706D3">
            <w:pPr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lang w:val="en-GB"/>
              </w:rPr>
              <w:t>Asthma, COPD, Type 2 diabetes, cancer, heart disease, Parkinson’s disease, diagnostic procedure, x-ray, MRI, screening, preventative care, morbidity, mortality, chronic, rehabilitation, complimentary therapy, care plan, review, informal support, formal support, physiological measurements (blood pressure, pulse), holistic assessment.</w:t>
            </w:r>
          </w:p>
          <w:p w14:paraId="7134982D" w14:textId="1D5398C9" w:rsidR="00843F11" w:rsidRPr="009A3BCD" w:rsidRDefault="00843F11" w:rsidP="00843F11">
            <w:pPr>
              <w:rPr>
                <w:rFonts w:ascii="Arial" w:hAnsi="Arial" w:cs="Arial"/>
                <w:lang w:val="en-GB"/>
              </w:rPr>
            </w:pPr>
          </w:p>
        </w:tc>
      </w:tr>
      <w:tr w:rsidR="00717220" w:rsidRPr="009A3BCD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9A3BCD" w:rsidRDefault="003B1C40">
            <w:pPr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 xml:space="preserve">Plan for Assessment </w:t>
            </w:r>
          </w:p>
        </w:tc>
      </w:tr>
      <w:tr w:rsidR="00717220" w:rsidRPr="009A3BCD" w14:paraId="56B7F9FC" w14:textId="77777777" w:rsidTr="00D57FF3">
        <w:tc>
          <w:tcPr>
            <w:tcW w:w="10632" w:type="dxa"/>
          </w:tcPr>
          <w:p w14:paraId="7D3EED9B" w14:textId="77777777" w:rsidR="00256283" w:rsidRPr="009A3BCD" w:rsidRDefault="00256283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578DD1A" w14:textId="188D49FD" w:rsidR="004F3C65" w:rsidRPr="009A3BCD" w:rsidRDefault="00C8586A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 xml:space="preserve">Unit 1 and </w:t>
            </w:r>
            <w:r w:rsidR="00256283" w:rsidRPr="009A3BCD">
              <w:rPr>
                <w:rFonts w:ascii="Arial" w:hAnsi="Arial" w:cs="Arial"/>
                <w:b/>
                <w:lang w:val="en-GB"/>
              </w:rPr>
              <w:t xml:space="preserve">Unit </w:t>
            </w:r>
            <w:r w:rsidRPr="009A3BCD">
              <w:rPr>
                <w:rFonts w:ascii="Arial" w:hAnsi="Arial" w:cs="Arial"/>
                <w:b/>
                <w:lang w:val="en-GB"/>
              </w:rPr>
              <w:t>2</w:t>
            </w:r>
          </w:p>
          <w:p w14:paraId="16A41AF8" w14:textId="30AB61EE" w:rsidR="008F273F" w:rsidRPr="009A3BCD" w:rsidRDefault="008F273F" w:rsidP="004F3C65">
            <w:pPr>
              <w:jc w:val="both"/>
              <w:rPr>
                <w:rFonts w:ascii="Arial" w:hAnsi="Arial" w:cs="Arial"/>
                <w:u w:val="single"/>
                <w:lang w:val="en-GB"/>
              </w:rPr>
            </w:pPr>
          </w:p>
          <w:p w14:paraId="39D8A607" w14:textId="335A03CE" w:rsidR="008F273F" w:rsidRPr="009A3BCD" w:rsidRDefault="004D0F52" w:rsidP="004F3C65">
            <w:p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u w:val="single"/>
                <w:lang w:val="en-GB"/>
              </w:rPr>
              <w:t>Assessment</w:t>
            </w:r>
            <w:r w:rsidR="008F273F" w:rsidRPr="009A3BCD">
              <w:rPr>
                <w:rFonts w:ascii="Arial" w:hAnsi="Arial" w:cs="Arial"/>
                <w:u w:val="single"/>
                <w:lang w:val="en-GB"/>
              </w:rPr>
              <w:t xml:space="preserve"> 1</w:t>
            </w:r>
            <w:r w:rsidR="008F273F" w:rsidRPr="009A3BCD">
              <w:rPr>
                <w:rFonts w:ascii="Arial" w:hAnsi="Arial" w:cs="Arial"/>
                <w:lang w:val="en-GB"/>
              </w:rPr>
              <w:t xml:space="preserve"> – </w:t>
            </w:r>
            <w:r w:rsidR="00843F11" w:rsidRPr="009A3BCD">
              <w:rPr>
                <w:rFonts w:ascii="Arial" w:hAnsi="Arial" w:cs="Arial"/>
                <w:lang w:val="en-GB"/>
              </w:rPr>
              <w:t>Students will have an in-class asse</w:t>
            </w:r>
            <w:r w:rsidR="00256283" w:rsidRPr="009A3BCD">
              <w:rPr>
                <w:rFonts w:ascii="Arial" w:hAnsi="Arial" w:cs="Arial"/>
                <w:lang w:val="en-GB"/>
              </w:rPr>
              <w:t>ssment at the end of the autumn</w:t>
            </w:r>
            <w:r w:rsidR="00C8586A" w:rsidRPr="009A3BCD">
              <w:rPr>
                <w:rFonts w:ascii="Arial" w:hAnsi="Arial" w:cs="Arial"/>
                <w:lang w:val="en-GB"/>
              </w:rPr>
              <w:t xml:space="preserve"> </w:t>
            </w:r>
            <w:proofErr w:type="gramStart"/>
            <w:r w:rsidR="00C8586A" w:rsidRPr="009A3BCD">
              <w:rPr>
                <w:rFonts w:ascii="Arial" w:hAnsi="Arial" w:cs="Arial"/>
                <w:lang w:val="en-GB"/>
              </w:rPr>
              <w:t>half-term</w:t>
            </w:r>
            <w:proofErr w:type="gramEnd"/>
            <w:r w:rsidR="00843F11" w:rsidRPr="009A3BCD">
              <w:rPr>
                <w:rFonts w:ascii="Arial" w:hAnsi="Arial" w:cs="Arial"/>
                <w:lang w:val="en-GB"/>
              </w:rPr>
              <w:t>.</w:t>
            </w:r>
          </w:p>
          <w:p w14:paraId="0E73A185" w14:textId="05082A09" w:rsidR="008F273F" w:rsidRPr="009A3BCD" w:rsidRDefault="008F273F" w:rsidP="004F3C65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5415005" w14:textId="75EFCBBB" w:rsidR="008F273F" w:rsidRPr="009A3BCD" w:rsidRDefault="004D0F52" w:rsidP="004F3C65">
            <w:p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u w:val="single"/>
                <w:lang w:val="en-GB"/>
              </w:rPr>
              <w:t>Assessment 2</w:t>
            </w:r>
            <w:r w:rsidR="008F273F" w:rsidRPr="009A3BCD">
              <w:rPr>
                <w:rFonts w:ascii="Arial" w:hAnsi="Arial" w:cs="Arial"/>
                <w:u w:val="single"/>
                <w:lang w:val="en-GB"/>
              </w:rPr>
              <w:t xml:space="preserve"> –</w:t>
            </w:r>
            <w:r w:rsidRPr="009A3BCD">
              <w:rPr>
                <w:rFonts w:ascii="Arial" w:hAnsi="Arial" w:cs="Arial"/>
                <w:lang w:val="en-GB"/>
              </w:rPr>
              <w:t>Stude</w:t>
            </w:r>
            <w:r w:rsidR="00C8586A" w:rsidRPr="009A3BCD">
              <w:rPr>
                <w:rFonts w:ascii="Arial" w:hAnsi="Arial" w:cs="Arial"/>
                <w:lang w:val="en-GB"/>
              </w:rPr>
              <w:t>nts will have an in-class</w:t>
            </w:r>
            <w:r w:rsidR="00256283" w:rsidRPr="009A3BCD">
              <w:rPr>
                <w:rFonts w:ascii="Arial" w:hAnsi="Arial" w:cs="Arial"/>
                <w:lang w:val="en-GB"/>
              </w:rPr>
              <w:t xml:space="preserve"> assessment at the end of autumn</w:t>
            </w:r>
            <w:r w:rsidR="00C8586A" w:rsidRPr="009A3BCD">
              <w:rPr>
                <w:rFonts w:ascii="Arial" w:hAnsi="Arial" w:cs="Arial"/>
                <w:lang w:val="en-GB"/>
              </w:rPr>
              <w:t xml:space="preserve"> term</w:t>
            </w:r>
            <w:r w:rsidR="00843F11" w:rsidRPr="009A3BCD">
              <w:rPr>
                <w:rFonts w:ascii="Arial" w:hAnsi="Arial" w:cs="Arial"/>
                <w:lang w:val="en-GB"/>
              </w:rPr>
              <w:t>.</w:t>
            </w:r>
          </w:p>
          <w:p w14:paraId="29B02F91" w14:textId="671D8E0A" w:rsidR="004D0F52" w:rsidRPr="009A3BCD" w:rsidRDefault="004D0F52" w:rsidP="004F3C65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3DEF098" w14:textId="10CF6ACF" w:rsidR="004D0F52" w:rsidRPr="009A3BCD" w:rsidRDefault="004D0F52" w:rsidP="004F3C65">
            <w:p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u w:val="single"/>
                <w:lang w:val="en-GB"/>
              </w:rPr>
              <w:t>Assessment 3</w:t>
            </w:r>
            <w:r w:rsidRPr="009A3BCD">
              <w:rPr>
                <w:rFonts w:ascii="Arial" w:hAnsi="Arial" w:cs="Arial"/>
                <w:lang w:val="en-GB"/>
              </w:rPr>
              <w:t xml:space="preserve"> – </w:t>
            </w:r>
            <w:r w:rsidR="00843F11" w:rsidRPr="009A3BCD">
              <w:rPr>
                <w:rFonts w:ascii="Arial" w:hAnsi="Arial" w:cs="Arial"/>
                <w:lang w:val="en-GB"/>
              </w:rPr>
              <w:t>Students will</w:t>
            </w:r>
            <w:r w:rsidR="00256283" w:rsidRPr="009A3BCD">
              <w:rPr>
                <w:rFonts w:ascii="Arial" w:hAnsi="Arial" w:cs="Arial"/>
                <w:lang w:val="en-GB"/>
              </w:rPr>
              <w:t xml:space="preserve"> undertake a mini mock exam at the end of spring </w:t>
            </w:r>
            <w:proofErr w:type="gramStart"/>
            <w:r w:rsidR="00256283" w:rsidRPr="009A3BCD">
              <w:rPr>
                <w:rFonts w:ascii="Arial" w:hAnsi="Arial" w:cs="Arial"/>
                <w:lang w:val="en-GB"/>
              </w:rPr>
              <w:t>half-term</w:t>
            </w:r>
            <w:proofErr w:type="gramEnd"/>
            <w:r w:rsidR="00256283" w:rsidRPr="009A3BCD">
              <w:rPr>
                <w:rFonts w:ascii="Arial" w:hAnsi="Arial" w:cs="Arial"/>
                <w:lang w:val="en-GB"/>
              </w:rPr>
              <w:t>.</w:t>
            </w:r>
          </w:p>
          <w:p w14:paraId="0FD837D2" w14:textId="74E21C0C" w:rsidR="00843F11" w:rsidRPr="009A3BCD" w:rsidRDefault="00843F11" w:rsidP="004F3C65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15AF15F" w14:textId="66C09427" w:rsidR="00843F11" w:rsidRPr="009A3BCD" w:rsidRDefault="00843F11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7F83890" w14:textId="71F9A8AE" w:rsidR="00256283" w:rsidRPr="009A3BCD" w:rsidRDefault="001706D3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9A3BCD">
              <w:rPr>
                <w:rFonts w:ascii="Arial" w:hAnsi="Arial" w:cs="Arial"/>
                <w:b/>
                <w:lang w:val="en-GB"/>
              </w:rPr>
              <w:t>Unit 14</w:t>
            </w:r>
          </w:p>
          <w:p w14:paraId="66290D70" w14:textId="4FF5615F" w:rsidR="00256283" w:rsidRPr="009A3BCD" w:rsidRDefault="00256283" w:rsidP="004F3C65">
            <w:pPr>
              <w:jc w:val="both"/>
              <w:rPr>
                <w:rFonts w:ascii="Arial" w:hAnsi="Arial" w:cs="Arial"/>
                <w:u w:val="single"/>
                <w:lang w:val="en-GB"/>
              </w:rPr>
            </w:pPr>
          </w:p>
          <w:p w14:paraId="13A551A1" w14:textId="750D5178" w:rsidR="00256283" w:rsidRPr="009A3BCD" w:rsidRDefault="00256283" w:rsidP="004F3C65">
            <w:p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u w:val="single"/>
                <w:lang w:val="en-GB"/>
              </w:rPr>
              <w:t xml:space="preserve">Assessment 1 – </w:t>
            </w:r>
            <w:r w:rsidRPr="009A3BCD">
              <w:rPr>
                <w:rFonts w:ascii="Arial" w:hAnsi="Arial" w:cs="Arial"/>
                <w:lang w:val="en-GB"/>
              </w:rPr>
              <w:t xml:space="preserve">Students will submit assignment 1 at the end of the first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half-term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>.</w:t>
            </w:r>
          </w:p>
          <w:p w14:paraId="1AFB5F0F" w14:textId="387A7CAB" w:rsidR="00256283" w:rsidRPr="009A3BCD" w:rsidRDefault="00256283" w:rsidP="004F3C65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E0D8B21" w14:textId="2DCBE630" w:rsidR="00256283" w:rsidRPr="009A3BCD" w:rsidRDefault="00256283" w:rsidP="004F3C65">
            <w:pPr>
              <w:jc w:val="both"/>
              <w:rPr>
                <w:rFonts w:ascii="Arial" w:hAnsi="Arial" w:cs="Arial"/>
                <w:lang w:val="en-GB"/>
              </w:rPr>
            </w:pPr>
            <w:r w:rsidRPr="009A3BCD">
              <w:rPr>
                <w:rFonts w:ascii="Arial" w:hAnsi="Arial" w:cs="Arial"/>
                <w:u w:val="single"/>
                <w:lang w:val="en-GB"/>
              </w:rPr>
              <w:t>Assessment 2</w:t>
            </w:r>
            <w:r w:rsidRPr="009A3BCD">
              <w:rPr>
                <w:rFonts w:ascii="Arial" w:hAnsi="Arial" w:cs="Arial"/>
                <w:lang w:val="en-GB"/>
              </w:rPr>
              <w:t xml:space="preserve"> – Students will submit assignment 2 at the end of the spring </w:t>
            </w:r>
            <w:proofErr w:type="gramStart"/>
            <w:r w:rsidRPr="009A3BCD">
              <w:rPr>
                <w:rFonts w:ascii="Arial" w:hAnsi="Arial" w:cs="Arial"/>
                <w:lang w:val="en-GB"/>
              </w:rPr>
              <w:t>half-term</w:t>
            </w:r>
            <w:proofErr w:type="gramEnd"/>
            <w:r w:rsidRPr="009A3BCD">
              <w:rPr>
                <w:rFonts w:ascii="Arial" w:hAnsi="Arial" w:cs="Arial"/>
                <w:lang w:val="en-GB"/>
              </w:rPr>
              <w:t xml:space="preserve">. </w:t>
            </w:r>
          </w:p>
          <w:p w14:paraId="4A0542B1" w14:textId="2D72F62C" w:rsidR="004F3C65" w:rsidRPr="009A3BCD" w:rsidRDefault="004F3C65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C3307BE" w14:textId="77777777" w:rsidR="004F3C65" w:rsidRPr="009A3BCD" w:rsidRDefault="004F3C65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4233BC0" w14:textId="34AFED65" w:rsidR="004F3C65" w:rsidRPr="009A3BCD" w:rsidRDefault="004F3C65" w:rsidP="004F3C65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CE33F4D" w14:textId="0A74C09C" w:rsidR="00F95822" w:rsidRPr="009A3BCD" w:rsidRDefault="00F95822">
      <w:pPr>
        <w:rPr>
          <w:rFonts w:ascii="Arial" w:hAnsi="Arial" w:cs="Arial"/>
          <w:lang w:val="en-GB"/>
        </w:rPr>
      </w:pPr>
    </w:p>
    <w:p w14:paraId="3C0DD892" w14:textId="7A3A1FD8" w:rsidR="007B1995" w:rsidRPr="009A3BCD" w:rsidRDefault="007B1995">
      <w:pPr>
        <w:rPr>
          <w:rFonts w:ascii="Arial" w:hAnsi="Arial" w:cs="Arial"/>
          <w:lang w:val="en-GB"/>
        </w:rPr>
      </w:pPr>
    </w:p>
    <w:p w14:paraId="22E49443" w14:textId="36188C4E" w:rsidR="007B1995" w:rsidRPr="009A3BCD" w:rsidRDefault="007B1995">
      <w:pPr>
        <w:rPr>
          <w:rFonts w:ascii="Arial" w:hAnsi="Arial" w:cs="Arial"/>
          <w:lang w:val="en-GB"/>
        </w:rPr>
      </w:pPr>
    </w:p>
    <w:p w14:paraId="6542BD36" w14:textId="56608F34" w:rsidR="00312C50" w:rsidRPr="009A3BCD" w:rsidRDefault="00312C50">
      <w:pPr>
        <w:rPr>
          <w:rFonts w:ascii="Arial" w:hAnsi="Arial" w:cs="Arial"/>
          <w:lang w:val="en-GB"/>
        </w:rPr>
      </w:pPr>
    </w:p>
    <w:sectPr w:rsidR="00312C50" w:rsidRPr="009A3BCD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5504"/>
    <w:multiLevelType w:val="hybridMultilevel"/>
    <w:tmpl w:val="CCAEB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127B6"/>
    <w:multiLevelType w:val="hybridMultilevel"/>
    <w:tmpl w:val="6E10F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2F33"/>
    <w:multiLevelType w:val="hybridMultilevel"/>
    <w:tmpl w:val="FB20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183D"/>
    <w:multiLevelType w:val="hybridMultilevel"/>
    <w:tmpl w:val="2DF46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B5D62A2"/>
    <w:multiLevelType w:val="hybridMultilevel"/>
    <w:tmpl w:val="5C940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33C4C63"/>
    <w:multiLevelType w:val="hybridMultilevel"/>
    <w:tmpl w:val="6DC2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B44500C"/>
    <w:multiLevelType w:val="hybridMultilevel"/>
    <w:tmpl w:val="2C9E2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91075A"/>
    <w:multiLevelType w:val="hybridMultilevel"/>
    <w:tmpl w:val="5E8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75096"/>
    <w:multiLevelType w:val="hybridMultilevel"/>
    <w:tmpl w:val="BE9C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21"/>
  </w:num>
  <w:num w:numId="5">
    <w:abstractNumId w:val="3"/>
  </w:num>
  <w:num w:numId="6">
    <w:abstractNumId w:val="19"/>
  </w:num>
  <w:num w:numId="7">
    <w:abstractNumId w:val="13"/>
  </w:num>
  <w:num w:numId="8">
    <w:abstractNumId w:val="16"/>
  </w:num>
  <w:num w:numId="9">
    <w:abstractNumId w:val="23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4"/>
  </w:num>
  <w:num w:numId="17">
    <w:abstractNumId w:val="5"/>
  </w:num>
  <w:num w:numId="18">
    <w:abstractNumId w:val="18"/>
  </w:num>
  <w:num w:numId="19">
    <w:abstractNumId w:val="2"/>
  </w:num>
  <w:num w:numId="20">
    <w:abstractNumId w:val="22"/>
  </w:num>
  <w:num w:numId="21">
    <w:abstractNumId w:val="20"/>
  </w:num>
  <w:num w:numId="22">
    <w:abstractNumId w:val="14"/>
  </w:num>
  <w:num w:numId="23">
    <w:abstractNumId w:val="6"/>
  </w:num>
  <w:num w:numId="24">
    <w:abstractNumId w:va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7C3"/>
    <w:rsid w:val="000368B9"/>
    <w:rsid w:val="0005018A"/>
    <w:rsid w:val="00066137"/>
    <w:rsid w:val="0007733D"/>
    <w:rsid w:val="00077870"/>
    <w:rsid w:val="000A6CD9"/>
    <w:rsid w:val="000C3865"/>
    <w:rsid w:val="000F762B"/>
    <w:rsid w:val="001000DD"/>
    <w:rsid w:val="001008AD"/>
    <w:rsid w:val="00122AA1"/>
    <w:rsid w:val="0012392A"/>
    <w:rsid w:val="00166FEB"/>
    <w:rsid w:val="001706D3"/>
    <w:rsid w:val="00196217"/>
    <w:rsid w:val="001A2BA4"/>
    <w:rsid w:val="001C5F99"/>
    <w:rsid w:val="001F093C"/>
    <w:rsid w:val="00204EA6"/>
    <w:rsid w:val="00226561"/>
    <w:rsid w:val="00255136"/>
    <w:rsid w:val="00256283"/>
    <w:rsid w:val="002A7471"/>
    <w:rsid w:val="002E2075"/>
    <w:rsid w:val="002E3DD3"/>
    <w:rsid w:val="002F66E2"/>
    <w:rsid w:val="00312C50"/>
    <w:rsid w:val="003250F7"/>
    <w:rsid w:val="003323DA"/>
    <w:rsid w:val="00341A93"/>
    <w:rsid w:val="003465A2"/>
    <w:rsid w:val="00373102"/>
    <w:rsid w:val="00375C96"/>
    <w:rsid w:val="003B1C40"/>
    <w:rsid w:val="00401BEE"/>
    <w:rsid w:val="004124B4"/>
    <w:rsid w:val="004643CB"/>
    <w:rsid w:val="004720C9"/>
    <w:rsid w:val="004A3838"/>
    <w:rsid w:val="004B4D51"/>
    <w:rsid w:val="004C5DF7"/>
    <w:rsid w:val="004C740E"/>
    <w:rsid w:val="004D0F52"/>
    <w:rsid w:val="004F3865"/>
    <w:rsid w:val="004F3C65"/>
    <w:rsid w:val="005151C4"/>
    <w:rsid w:val="005328D1"/>
    <w:rsid w:val="0054237E"/>
    <w:rsid w:val="00572DC4"/>
    <w:rsid w:val="005F5BFF"/>
    <w:rsid w:val="005F617D"/>
    <w:rsid w:val="00603FC3"/>
    <w:rsid w:val="006133FF"/>
    <w:rsid w:val="006262B9"/>
    <w:rsid w:val="00652642"/>
    <w:rsid w:val="00664176"/>
    <w:rsid w:val="006B6F74"/>
    <w:rsid w:val="006B7BD1"/>
    <w:rsid w:val="006D7BA7"/>
    <w:rsid w:val="006E589C"/>
    <w:rsid w:val="006E5B6C"/>
    <w:rsid w:val="00717220"/>
    <w:rsid w:val="007369B8"/>
    <w:rsid w:val="007723FB"/>
    <w:rsid w:val="00792234"/>
    <w:rsid w:val="00792A67"/>
    <w:rsid w:val="007B04C0"/>
    <w:rsid w:val="007B1995"/>
    <w:rsid w:val="00811223"/>
    <w:rsid w:val="00822276"/>
    <w:rsid w:val="0082692D"/>
    <w:rsid w:val="008315F1"/>
    <w:rsid w:val="00843F11"/>
    <w:rsid w:val="00845B03"/>
    <w:rsid w:val="00850C21"/>
    <w:rsid w:val="008F273F"/>
    <w:rsid w:val="008F472A"/>
    <w:rsid w:val="009127EC"/>
    <w:rsid w:val="009218EA"/>
    <w:rsid w:val="009362CB"/>
    <w:rsid w:val="00941795"/>
    <w:rsid w:val="00970470"/>
    <w:rsid w:val="00996488"/>
    <w:rsid w:val="009A3BCD"/>
    <w:rsid w:val="009D020D"/>
    <w:rsid w:val="009D03DC"/>
    <w:rsid w:val="009F36E3"/>
    <w:rsid w:val="009F4EE7"/>
    <w:rsid w:val="00A10A94"/>
    <w:rsid w:val="00AA005C"/>
    <w:rsid w:val="00AB16D0"/>
    <w:rsid w:val="00AC1394"/>
    <w:rsid w:val="00AD4C30"/>
    <w:rsid w:val="00AE533F"/>
    <w:rsid w:val="00B16942"/>
    <w:rsid w:val="00B2592B"/>
    <w:rsid w:val="00B45D97"/>
    <w:rsid w:val="00B736FF"/>
    <w:rsid w:val="00BA2324"/>
    <w:rsid w:val="00BD29F2"/>
    <w:rsid w:val="00BD477F"/>
    <w:rsid w:val="00BD6535"/>
    <w:rsid w:val="00BE38D9"/>
    <w:rsid w:val="00C308AF"/>
    <w:rsid w:val="00C70FC6"/>
    <w:rsid w:val="00C72A78"/>
    <w:rsid w:val="00C8586A"/>
    <w:rsid w:val="00C91F12"/>
    <w:rsid w:val="00CF578F"/>
    <w:rsid w:val="00D06802"/>
    <w:rsid w:val="00D239EE"/>
    <w:rsid w:val="00D41C18"/>
    <w:rsid w:val="00D42DF2"/>
    <w:rsid w:val="00D530E8"/>
    <w:rsid w:val="00D57FF3"/>
    <w:rsid w:val="00D80364"/>
    <w:rsid w:val="00DA526D"/>
    <w:rsid w:val="00DB7D75"/>
    <w:rsid w:val="00DF4BEB"/>
    <w:rsid w:val="00DF5028"/>
    <w:rsid w:val="00E06CC5"/>
    <w:rsid w:val="00E97261"/>
    <w:rsid w:val="00ED3696"/>
    <w:rsid w:val="00EE61CE"/>
    <w:rsid w:val="00EF6FA2"/>
    <w:rsid w:val="00F13747"/>
    <w:rsid w:val="00F30C8B"/>
    <w:rsid w:val="00F564A7"/>
    <w:rsid w:val="00F56CCA"/>
    <w:rsid w:val="00F62155"/>
    <w:rsid w:val="00F648AC"/>
    <w:rsid w:val="00F85737"/>
    <w:rsid w:val="00F908AB"/>
    <w:rsid w:val="00F95822"/>
    <w:rsid w:val="00FC1E1B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3AF24-F4CB-4E09-8294-6042C7A4CA05}"/>
</file>

<file path=customXml/itemProps2.xml><?xml version="1.0" encoding="utf-8"?>
<ds:datastoreItem xmlns:ds="http://schemas.openxmlformats.org/officeDocument/2006/customXml" ds:itemID="{9AF30EF3-7825-4D96-9B9C-5810819C37BA}"/>
</file>

<file path=customXml/itemProps3.xml><?xml version="1.0" encoding="utf-8"?>
<ds:datastoreItem xmlns:ds="http://schemas.openxmlformats.org/officeDocument/2006/customXml" ds:itemID="{834EEF02-D604-49A8-AA55-43C75827E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Rutherford, Sara</cp:lastModifiedBy>
  <cp:revision>13</cp:revision>
  <cp:lastPrinted>2019-11-03T11:53:00Z</cp:lastPrinted>
  <dcterms:created xsi:type="dcterms:W3CDTF">2020-06-09T15:17:00Z</dcterms:created>
  <dcterms:modified xsi:type="dcterms:W3CDTF">2021-09-06T15:14:00Z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