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E27C" w14:textId="77777777" w:rsidR="00D202A2" w:rsidRPr="009218EA" w:rsidRDefault="00D202A2" w:rsidP="00D202A2">
      <w:pPr>
        <w:rPr>
          <w:b/>
          <w:lang w:val="en-GB"/>
        </w:rPr>
      </w:pPr>
      <w:bookmarkStart w:id="0" w:name="_GoBack"/>
      <w:bookmarkEnd w:id="0"/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6C93A7" wp14:editId="226932E7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>
        <w:rPr>
          <w:b/>
          <w:lang w:val="en-GB"/>
        </w:rPr>
        <w:t>St Mary’s Catholic School</w:t>
      </w:r>
    </w:p>
    <w:p w14:paraId="74C1D5DE" w14:textId="77777777" w:rsidR="00D202A2" w:rsidRDefault="00D202A2" w:rsidP="00D202A2">
      <w:pPr>
        <w:rPr>
          <w:lang w:val="en-GB"/>
        </w:rPr>
      </w:pPr>
      <w:r>
        <w:rPr>
          <w:lang w:val="en-GB"/>
        </w:rPr>
        <w:t>Department Curriculum Planning</w:t>
      </w:r>
    </w:p>
    <w:p w14:paraId="630A6D0D" w14:textId="77777777" w:rsidR="00D202A2" w:rsidRDefault="00D202A2" w:rsidP="00D202A2">
      <w:pPr>
        <w:rPr>
          <w:lang w:val="en-GB"/>
        </w:rPr>
      </w:pPr>
      <w:r>
        <w:rPr>
          <w:lang w:val="en-GB"/>
        </w:rPr>
        <w:t xml:space="preserve">Department: </w:t>
      </w:r>
      <w:r>
        <w:rPr>
          <w:b/>
          <w:color w:val="7030A0"/>
          <w:lang w:val="en-GB"/>
        </w:rPr>
        <w:t xml:space="preserve">English </w:t>
      </w:r>
    </w:p>
    <w:p w14:paraId="672A6659" w14:textId="77777777" w:rsidR="00D202A2" w:rsidRDefault="00D202A2" w:rsidP="00D202A2">
      <w:pPr>
        <w:rPr>
          <w:lang w:val="en-GB"/>
        </w:rPr>
      </w:pPr>
    </w:p>
    <w:p w14:paraId="5EE8DDAD" w14:textId="77777777" w:rsidR="00D202A2" w:rsidRPr="007B04C0" w:rsidRDefault="00D202A2" w:rsidP="00D202A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Year Group: </w:t>
      </w:r>
      <w:r w:rsidR="006341A6">
        <w:rPr>
          <w:b/>
          <w:color w:val="7030A0"/>
          <w:sz w:val="21"/>
          <w:szCs w:val="21"/>
          <w:lang w:val="en-GB"/>
        </w:rPr>
        <w:t>13</w:t>
      </w:r>
      <w:r w:rsidR="00875AE4">
        <w:rPr>
          <w:b/>
          <w:color w:val="7030A0"/>
          <w:sz w:val="21"/>
          <w:szCs w:val="21"/>
          <w:lang w:val="en-GB"/>
        </w:rPr>
        <w:t xml:space="preserve"> A Level </w:t>
      </w:r>
      <w:r w:rsidR="00F71DCD">
        <w:rPr>
          <w:b/>
          <w:color w:val="7030A0"/>
          <w:sz w:val="21"/>
          <w:szCs w:val="21"/>
          <w:lang w:val="en-GB"/>
        </w:rPr>
        <w:t>Film Studies</w:t>
      </w:r>
    </w:p>
    <w:p w14:paraId="0A37501D" w14:textId="77777777" w:rsidR="00D202A2" w:rsidRPr="007B04C0" w:rsidRDefault="00D202A2" w:rsidP="00D202A2">
      <w:pPr>
        <w:rPr>
          <w:sz w:val="21"/>
          <w:szCs w:val="21"/>
          <w:lang w:val="en-GB"/>
        </w:rPr>
      </w:pPr>
    </w:p>
    <w:p w14:paraId="5339A954" w14:textId="77777777" w:rsidR="00D202A2" w:rsidRPr="00A37AC3" w:rsidRDefault="00D202A2" w:rsidP="00D202A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This is the plan for the taught curriculum during achievement period: </w:t>
      </w:r>
      <w:r w:rsidR="00277521">
        <w:rPr>
          <w:b/>
          <w:color w:val="7030A0"/>
          <w:sz w:val="21"/>
          <w:szCs w:val="21"/>
          <w:lang w:val="en-GB"/>
        </w:rPr>
        <w:t>Two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D202A2" w:rsidRPr="007B04C0" w14:paraId="716AA109" w14:textId="77777777" w:rsidTr="5BF9564C">
        <w:tc>
          <w:tcPr>
            <w:tcW w:w="10632" w:type="dxa"/>
            <w:shd w:val="clear" w:color="auto" w:fill="E2EFD9" w:themeFill="accent6" w:themeFillTint="33"/>
          </w:tcPr>
          <w:p w14:paraId="6973338E" w14:textId="77777777" w:rsidR="00D202A2" w:rsidRPr="007B04C0" w:rsidRDefault="00D202A2" w:rsidP="00374376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Brief summary of the topic/work being covered during this period</w:t>
            </w:r>
            <w:r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D202A2" w:rsidRPr="007B04C0" w14:paraId="660EB61C" w14:textId="77777777" w:rsidTr="5BF9564C">
        <w:tc>
          <w:tcPr>
            <w:tcW w:w="10632" w:type="dxa"/>
          </w:tcPr>
          <w:p w14:paraId="01C74848" w14:textId="77777777" w:rsidR="005A5AC4" w:rsidRDefault="0074082C" w:rsidP="006341A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  <w:r w:rsidR="006341A6">
              <w:rPr>
                <w:sz w:val="21"/>
                <w:szCs w:val="21"/>
                <w:lang w:val="en-GB"/>
              </w:rPr>
              <w:t>Students will continue w</w:t>
            </w:r>
            <w:r w:rsidR="00277521">
              <w:rPr>
                <w:sz w:val="21"/>
                <w:szCs w:val="21"/>
                <w:lang w:val="en-GB"/>
              </w:rPr>
              <w:t>orking on their NEA, writing an evaluation of their screenplay</w:t>
            </w:r>
          </w:p>
          <w:p w14:paraId="4C6C6C1B" w14:textId="77777777" w:rsidR="001B5AE5" w:rsidRDefault="006341A6" w:rsidP="001B5AE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 will study the </w:t>
            </w:r>
            <w:r w:rsidR="001B5AE5">
              <w:rPr>
                <w:sz w:val="21"/>
                <w:szCs w:val="21"/>
                <w:lang w:val="en-GB"/>
              </w:rPr>
              <w:t>films Sunrise, No Country for Old Men, Beasts of the Southern Wild, Pulp Fiction and This is England</w:t>
            </w:r>
          </w:p>
          <w:p w14:paraId="22FF6A15" w14:textId="77777777" w:rsidR="001B5AE5" w:rsidRPr="001B5AE5" w:rsidRDefault="001B5AE5" w:rsidP="001B5AE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revise European, Global and British Cinema as well as the Comparative Hollywood study. </w:t>
            </w:r>
          </w:p>
        </w:tc>
      </w:tr>
      <w:tr w:rsidR="00D202A2" w:rsidRPr="007B04C0" w14:paraId="2A3A7EEE" w14:textId="77777777" w:rsidTr="5BF9564C">
        <w:tc>
          <w:tcPr>
            <w:tcW w:w="10632" w:type="dxa"/>
            <w:shd w:val="clear" w:color="auto" w:fill="E2EFD9" w:themeFill="accent6" w:themeFillTint="33"/>
          </w:tcPr>
          <w:p w14:paraId="2728024E" w14:textId="77777777" w:rsidR="00D202A2" w:rsidRPr="007B04C0" w:rsidRDefault="00D202A2" w:rsidP="0037437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D202A2" w:rsidRPr="007B04C0" w14:paraId="1EE1BBAD" w14:textId="77777777" w:rsidTr="5BF9564C">
        <w:tc>
          <w:tcPr>
            <w:tcW w:w="10632" w:type="dxa"/>
          </w:tcPr>
          <w:p w14:paraId="051C69E3" w14:textId="77777777" w:rsidR="006341A6" w:rsidRPr="00D915DE" w:rsidRDefault="00CA63BE" w:rsidP="006341A6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have all specialist terminology from Y12 and narrative work (see Year 12 terminology lists)</w:t>
            </w:r>
          </w:p>
          <w:p w14:paraId="5B50A480" w14:textId="77777777" w:rsidR="005A5AC4" w:rsidRDefault="00CA63BE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 w:rsidRPr="00CA63BE">
              <w:rPr>
                <w:sz w:val="21"/>
                <w:szCs w:val="21"/>
                <w:lang w:val="en-GB"/>
              </w:rPr>
              <w:t>Students will have knowledge how to assess and judge films within their specific contexts</w:t>
            </w:r>
          </w:p>
          <w:p w14:paraId="112D5B1E" w14:textId="77777777" w:rsidR="00CA63BE" w:rsidRDefault="00CA63BE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already began NEA at the end of Y12 and have knowledge of screen-plays, story-boarding and all relevant terminology as well as required 80 minutes of short films. </w:t>
            </w:r>
          </w:p>
          <w:p w14:paraId="3D4316DF" w14:textId="77777777" w:rsidR="00CA63BE" w:rsidRDefault="00CA63BE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have studied American screen plays in detail which already introduces students to American cinema.</w:t>
            </w:r>
          </w:p>
          <w:p w14:paraId="4489F4C3" w14:textId="77777777" w:rsidR="00CA63BE" w:rsidRDefault="00CA63BE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have studied Old Hollywood and therefore understand the evolution of this place and genre.</w:t>
            </w:r>
          </w:p>
          <w:p w14:paraId="1FED7FE6" w14:textId="77777777" w:rsidR="001B5AE5" w:rsidRPr="00CA63BE" w:rsidRDefault="001B5AE5" w:rsidP="00D915DE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have studied Trainspotting and British Cinema in detail. </w:t>
            </w:r>
          </w:p>
        </w:tc>
      </w:tr>
      <w:tr w:rsidR="00D202A2" w:rsidRPr="007B04C0" w14:paraId="3CE7E090" w14:textId="77777777" w:rsidTr="5BF9564C">
        <w:tc>
          <w:tcPr>
            <w:tcW w:w="10632" w:type="dxa"/>
            <w:shd w:val="clear" w:color="auto" w:fill="E2EFD9" w:themeFill="accent6" w:themeFillTint="33"/>
          </w:tcPr>
          <w:p w14:paraId="1946788B" w14:textId="77777777"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00D202A2" w:rsidRPr="007B04C0" w14:paraId="6A2A59B7" w14:textId="77777777" w:rsidTr="5BF9564C">
        <w:tc>
          <w:tcPr>
            <w:tcW w:w="10632" w:type="dxa"/>
          </w:tcPr>
          <w:p w14:paraId="147472BE" w14:textId="77777777" w:rsidR="00D202A2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4E86DC97" w14:textId="77777777" w:rsidR="006341A6" w:rsidRDefault="001B5AE5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Choice of films </w:t>
            </w:r>
            <w:r w:rsidR="00C25CFF">
              <w:rPr>
                <w:sz w:val="21"/>
                <w:szCs w:val="21"/>
              </w:rPr>
              <w:t xml:space="preserve">is engaging and innovative. In American cinema, Beasts of the Southern Wild enables students to respond to a female protagonist and analyse narratives within marginalised communities. Pulp Fiction is a seminal film and has real cultural significance stretching across a broad range of artistic spectrums. </w:t>
            </w:r>
          </w:p>
          <w:p w14:paraId="1EF48D1A" w14:textId="77777777" w:rsidR="00C25CFF" w:rsidRPr="006341A6" w:rsidRDefault="00C25CFF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Choices of film enable students to explore complex concepts and ideas such as choices, responsibility, morality, mythology, compassion, fate, justice and masculinity. </w:t>
            </w:r>
          </w:p>
          <w:p w14:paraId="2ADDC321" w14:textId="77777777" w:rsidR="006341A6" w:rsidRPr="006341A6" w:rsidRDefault="006341A6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6341A6">
              <w:rPr>
                <w:sz w:val="21"/>
                <w:szCs w:val="21"/>
              </w:rPr>
              <w:t>Choice of a screen play at NEA best exploits students’ skillsets enabling them to demonstrate their understanding of genre conventions.</w:t>
            </w:r>
          </w:p>
          <w:p w14:paraId="38867E97" w14:textId="77777777" w:rsidR="004F62D7" w:rsidRPr="006341A6" w:rsidRDefault="00D202A2" w:rsidP="00D543F3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6341A6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431FBAC0" w14:textId="77777777" w:rsidR="006341A6" w:rsidRDefault="00F72C36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Students are now at the final point in their NEA and have completed their screenplay. </w:t>
            </w:r>
          </w:p>
          <w:p w14:paraId="760D70CA" w14:textId="77777777" w:rsidR="00F72C36" w:rsidRPr="006341A6" w:rsidRDefault="00F72C36" w:rsidP="006341A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Having completed the comparative study of Old and New Hollywood, students can now apply this lens to the study of American cinema. </w:t>
            </w:r>
          </w:p>
          <w:p w14:paraId="59FFC175" w14:textId="77777777" w:rsidR="00D543F3" w:rsidRPr="00D543F3" w:rsidRDefault="006341A6" w:rsidP="00F72C36">
            <w:pPr>
              <w:pStyle w:val="ListParagraph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6341A6">
              <w:rPr>
                <w:sz w:val="21"/>
                <w:szCs w:val="21"/>
              </w:rPr>
              <w:t xml:space="preserve">Placement </w:t>
            </w:r>
            <w:r w:rsidR="00F72C36">
              <w:rPr>
                <w:sz w:val="21"/>
                <w:szCs w:val="21"/>
              </w:rPr>
              <w:t xml:space="preserve">of experimental and silent cinema at this point deliberately tackles the fact these are arguably two of the most complex genres, ideologies and film choices. Students already have a rich experience of film genres, theory and terminology and are now well placed to analyse these complex films. </w:t>
            </w:r>
            <w:r>
              <w:rPr>
                <w:sz w:val="20"/>
              </w:rPr>
              <w:t xml:space="preserve"> </w:t>
            </w:r>
            <w:r w:rsidR="00D543F3">
              <w:rPr>
                <w:sz w:val="21"/>
                <w:szCs w:val="21"/>
              </w:rPr>
              <w:t xml:space="preserve"> </w:t>
            </w:r>
          </w:p>
        </w:tc>
      </w:tr>
      <w:tr w:rsidR="00D202A2" w:rsidRPr="007B04C0" w14:paraId="01A1E771" w14:textId="77777777" w:rsidTr="5BF9564C">
        <w:tc>
          <w:tcPr>
            <w:tcW w:w="10632" w:type="dxa"/>
            <w:shd w:val="clear" w:color="auto" w:fill="E2EFD9" w:themeFill="accent6" w:themeFillTint="33"/>
          </w:tcPr>
          <w:p w14:paraId="44A21CB5" w14:textId="77777777"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Key concepts/ideas that are taught to students in this unit/topic, including any anticipated gaps in knowledge and plan to overcome these</w:t>
            </w:r>
          </w:p>
        </w:tc>
      </w:tr>
      <w:tr w:rsidR="00D202A2" w:rsidRPr="007B04C0" w14:paraId="7D9D09FB" w14:textId="77777777" w:rsidTr="5BF9564C">
        <w:tc>
          <w:tcPr>
            <w:tcW w:w="10632" w:type="dxa"/>
          </w:tcPr>
          <w:p w14:paraId="4A32047D" w14:textId="77777777" w:rsidR="00D56596" w:rsidRDefault="00CA63BE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watch and study all named films in detail including applying the language of film, exploration of narrative and placing films in their genre, socio-political and historical contexts.</w:t>
            </w:r>
          </w:p>
          <w:p w14:paraId="4B68C1CE" w14:textId="77777777" w:rsidR="00040970" w:rsidRDefault="00040970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analyse key sequences within all films studied</w:t>
            </w:r>
          </w:p>
          <w:p w14:paraId="51767A33" w14:textId="77777777" w:rsidR="00040970" w:rsidRDefault="00040970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apply ideological and critical approaches such as Murray Smith and cognitive theory. </w:t>
            </w:r>
          </w:p>
          <w:p w14:paraId="6A00A509" w14:textId="77777777" w:rsidR="00040970" w:rsidRDefault="00040970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revise spectatorship and meanings and response across a wide range of films. </w:t>
            </w:r>
          </w:p>
          <w:p w14:paraId="55C0DF6A" w14:textId="77777777" w:rsidR="00CA63BE" w:rsidRDefault="00CA63BE" w:rsidP="004F62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compare texts within their genre i.e. compare British cinema and New Hollywood and Old Hollywood. </w:t>
            </w:r>
          </w:p>
          <w:p w14:paraId="60A534AA" w14:textId="77777777" w:rsidR="009B5B92" w:rsidRPr="00C25CFF" w:rsidRDefault="00CA63BE" w:rsidP="00C25CF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complete an evaluative analysis within their NEA</w:t>
            </w:r>
          </w:p>
        </w:tc>
      </w:tr>
      <w:tr w:rsidR="00D202A2" w:rsidRPr="007B04C0" w14:paraId="096149E7" w14:textId="77777777" w:rsidTr="5BF9564C">
        <w:tc>
          <w:tcPr>
            <w:tcW w:w="10632" w:type="dxa"/>
            <w:shd w:val="clear" w:color="auto" w:fill="E2EFD9" w:themeFill="accent6" w:themeFillTint="33"/>
          </w:tcPr>
          <w:p w14:paraId="1B941C55" w14:textId="77777777"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 key terminology students will be taught during this topic/unit</w:t>
            </w:r>
          </w:p>
        </w:tc>
      </w:tr>
      <w:tr w:rsidR="00D202A2" w:rsidRPr="007B04C0" w14:paraId="24C87003" w14:textId="77777777" w:rsidTr="5BF9564C">
        <w:trPr>
          <w:trHeight w:val="640"/>
        </w:trPr>
        <w:tc>
          <w:tcPr>
            <w:tcW w:w="10632" w:type="dxa"/>
          </w:tcPr>
          <w:p w14:paraId="13379644" w14:textId="4E83482B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1"/>
                <w:szCs w:val="2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Active Spectatorship</w:t>
            </w:r>
          </w:p>
          <w:p w14:paraId="30999C3D" w14:textId="5F15F698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Passive Spectatorship</w:t>
            </w:r>
          </w:p>
          <w:p w14:paraId="5C5C7372" w14:textId="2A69E3F0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Encoding</w:t>
            </w:r>
          </w:p>
          <w:p w14:paraId="080601BB" w14:textId="466A0A60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Decoding</w:t>
            </w:r>
          </w:p>
          <w:p w14:paraId="786CB11A" w14:textId="24633C9B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The Western</w:t>
            </w:r>
          </w:p>
          <w:p w14:paraId="064E0A35" w14:textId="175AD259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Film Noir</w:t>
            </w:r>
          </w:p>
          <w:p w14:paraId="22C5AB9D" w14:textId="518581FC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Preferred Reading</w:t>
            </w:r>
          </w:p>
          <w:p w14:paraId="3A5573D9" w14:textId="3508B540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Oppositional reading</w:t>
            </w:r>
          </w:p>
          <w:p w14:paraId="693FA720" w14:textId="0E8D9E8A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Aberrant reading</w:t>
            </w:r>
          </w:p>
          <w:p w14:paraId="56D73C2D" w14:textId="0DFB6009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Protagonist</w:t>
            </w:r>
          </w:p>
          <w:p w14:paraId="496C60AE" w14:textId="32624524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lastRenderedPageBreak/>
              <w:t>Recognition, Alignment, Allegiance</w:t>
            </w:r>
          </w:p>
          <w:p w14:paraId="474B580D" w14:textId="37B230CA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Spatio-temporal attachment</w:t>
            </w:r>
          </w:p>
          <w:p w14:paraId="66E1C330" w14:textId="578F29C6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Capitalism</w:t>
            </w:r>
          </w:p>
          <w:p w14:paraId="6640D3CA" w14:textId="2DA11B48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Nihilism</w:t>
            </w:r>
          </w:p>
          <w:p w14:paraId="5EBA64CB" w14:textId="24ED954F" w:rsidR="00040970" w:rsidRPr="00CA63BE" w:rsidRDefault="24C97598" w:rsidP="5BF9564C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  <w:color w:val="000000" w:themeColor="text1"/>
                <w:lang w:val="en-GB"/>
              </w:rPr>
            </w:pPr>
            <w:r w:rsidRPr="5BF9564C">
              <w:rPr>
                <w:rFonts w:ascii="Calibri" w:eastAsia="Calibri" w:hAnsi="Calibri" w:cs="Calibri"/>
                <w:color w:val="000000" w:themeColor="text1"/>
                <w:lang w:val="en-GB"/>
              </w:rPr>
              <w:t>Conservatism</w:t>
            </w:r>
          </w:p>
          <w:p w14:paraId="5DAB6C7B" w14:textId="7B1B4760" w:rsidR="00040970" w:rsidRPr="00CA63BE" w:rsidRDefault="00040970" w:rsidP="5BF9564C">
            <w:pPr>
              <w:rPr>
                <w:b/>
                <w:bCs/>
                <w:lang w:val="en-GB"/>
              </w:rPr>
            </w:pPr>
          </w:p>
        </w:tc>
      </w:tr>
      <w:tr w:rsidR="00D202A2" w:rsidRPr="007B04C0" w14:paraId="15BAA772" w14:textId="77777777" w:rsidTr="5BF9564C">
        <w:tc>
          <w:tcPr>
            <w:tcW w:w="10632" w:type="dxa"/>
            <w:shd w:val="clear" w:color="auto" w:fill="E2EFD9" w:themeFill="accent6" w:themeFillTint="33"/>
          </w:tcPr>
          <w:p w14:paraId="795751CF" w14:textId="77777777"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D202A2" w:rsidRPr="007B04C0" w14:paraId="4CED8292" w14:textId="77777777" w:rsidTr="5BF9564C">
        <w:tc>
          <w:tcPr>
            <w:tcW w:w="10632" w:type="dxa"/>
          </w:tcPr>
          <w:p w14:paraId="4DB2A1D5" w14:textId="77777777" w:rsidR="00D202A2" w:rsidRPr="007B04C0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14:paraId="5E8EC2F7" w14:textId="77777777" w:rsidR="009B5B92" w:rsidRPr="009B5B92" w:rsidRDefault="00D202A2" w:rsidP="009B5B9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students complete </w:t>
            </w:r>
            <w:r w:rsidR="006B4882">
              <w:rPr>
                <w:sz w:val="21"/>
                <w:szCs w:val="21"/>
                <w:lang w:val="en-GB"/>
              </w:rPr>
              <w:t>past paper questions on comparison of the two genres both marked out of 40</w:t>
            </w:r>
          </w:p>
          <w:p w14:paraId="275AF02E" w14:textId="77777777" w:rsidR="00D202A2" w:rsidRPr="007B04C0" w:rsidRDefault="00D202A2" w:rsidP="009B5B9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Teachers are to record c</w:t>
            </w:r>
            <w:r w:rsidR="006B4882">
              <w:rPr>
                <w:sz w:val="21"/>
                <w:szCs w:val="21"/>
                <w:lang w:val="en-GB"/>
              </w:rPr>
              <w:t>entrally 1 single mark out of 40</w:t>
            </w:r>
            <w:r w:rsidRPr="007B04C0">
              <w:rPr>
                <w:sz w:val="21"/>
                <w:szCs w:val="21"/>
                <w:lang w:val="en-GB"/>
              </w:rPr>
              <w:t xml:space="preserve"> for the final assessed essay</w:t>
            </w:r>
            <w:r w:rsidR="006B4882">
              <w:rPr>
                <w:sz w:val="21"/>
                <w:szCs w:val="21"/>
                <w:lang w:val="en-GB"/>
              </w:rPr>
              <w:t>s</w:t>
            </w:r>
            <w:r w:rsidR="0074082C">
              <w:rPr>
                <w:sz w:val="21"/>
                <w:szCs w:val="21"/>
                <w:lang w:val="en-GB"/>
              </w:rPr>
              <w:t xml:space="preserve">. </w:t>
            </w:r>
            <w:r>
              <w:rPr>
                <w:sz w:val="21"/>
                <w:szCs w:val="21"/>
                <w:lang w:val="en-GB"/>
              </w:rPr>
              <w:t>Feedback on the work should indicate</w:t>
            </w:r>
            <w:r w:rsidR="00875AE4">
              <w:rPr>
                <w:sz w:val="21"/>
                <w:szCs w:val="21"/>
                <w:lang w:val="en-GB"/>
              </w:rPr>
              <w:t xml:space="preserve"> strengths and include feedback which clarifies misconceptions and develops students’ skills of analysis. Students should respond to this feedback. </w:t>
            </w:r>
          </w:p>
        </w:tc>
      </w:tr>
    </w:tbl>
    <w:p w14:paraId="02EB378F" w14:textId="77777777" w:rsidR="00D202A2" w:rsidRPr="007B04C0" w:rsidRDefault="00D202A2" w:rsidP="00D202A2">
      <w:pPr>
        <w:rPr>
          <w:sz w:val="21"/>
          <w:szCs w:val="21"/>
          <w:lang w:val="en-GB"/>
        </w:rPr>
      </w:pPr>
    </w:p>
    <w:p w14:paraId="6A05A809" w14:textId="77777777" w:rsidR="007A25E4" w:rsidRDefault="007A25E4"/>
    <w:sectPr w:rsidR="007A25E4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36766"/>
    <w:multiLevelType w:val="hybridMultilevel"/>
    <w:tmpl w:val="F6943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101"/>
    <w:multiLevelType w:val="hybridMultilevel"/>
    <w:tmpl w:val="64E8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C5C31"/>
    <w:multiLevelType w:val="hybridMultilevel"/>
    <w:tmpl w:val="39803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25FBC"/>
    <w:multiLevelType w:val="hybridMultilevel"/>
    <w:tmpl w:val="080A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70A9F"/>
    <w:multiLevelType w:val="hybridMultilevel"/>
    <w:tmpl w:val="7876C936"/>
    <w:lvl w:ilvl="0" w:tplc="1E0C09D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16BC7"/>
    <w:multiLevelType w:val="hybridMultilevel"/>
    <w:tmpl w:val="09E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57612"/>
    <w:multiLevelType w:val="hybridMultilevel"/>
    <w:tmpl w:val="9E62A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514C0D"/>
    <w:multiLevelType w:val="hybridMultilevel"/>
    <w:tmpl w:val="6396E122"/>
    <w:lvl w:ilvl="0" w:tplc="1E0C09D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312C"/>
    <w:multiLevelType w:val="hybridMultilevel"/>
    <w:tmpl w:val="319E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E117B"/>
    <w:multiLevelType w:val="hybridMultilevel"/>
    <w:tmpl w:val="79FE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16E67"/>
    <w:multiLevelType w:val="hybridMultilevel"/>
    <w:tmpl w:val="BF189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16"/>
  </w:num>
  <w:num w:numId="13">
    <w:abstractNumId w:val="13"/>
  </w:num>
  <w:num w:numId="14">
    <w:abstractNumId w:val="8"/>
  </w:num>
  <w:num w:numId="15">
    <w:abstractNumId w:val="12"/>
  </w:num>
  <w:num w:numId="16">
    <w:abstractNumId w:val="17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2"/>
    <w:rsid w:val="00040970"/>
    <w:rsid w:val="000756A7"/>
    <w:rsid w:val="000B0C27"/>
    <w:rsid w:val="001B5AE5"/>
    <w:rsid w:val="001F19B0"/>
    <w:rsid w:val="00277521"/>
    <w:rsid w:val="00345A33"/>
    <w:rsid w:val="004F62D7"/>
    <w:rsid w:val="0050170E"/>
    <w:rsid w:val="005A5AC4"/>
    <w:rsid w:val="005E4F87"/>
    <w:rsid w:val="006301AF"/>
    <w:rsid w:val="006341A6"/>
    <w:rsid w:val="006B4882"/>
    <w:rsid w:val="006D276F"/>
    <w:rsid w:val="007240E4"/>
    <w:rsid w:val="0074082C"/>
    <w:rsid w:val="007A25E4"/>
    <w:rsid w:val="007D1D82"/>
    <w:rsid w:val="00875AE4"/>
    <w:rsid w:val="008A6727"/>
    <w:rsid w:val="009055F9"/>
    <w:rsid w:val="0096445C"/>
    <w:rsid w:val="009818C7"/>
    <w:rsid w:val="009B5B92"/>
    <w:rsid w:val="009D7640"/>
    <w:rsid w:val="00A32435"/>
    <w:rsid w:val="00A37AC3"/>
    <w:rsid w:val="00B356B5"/>
    <w:rsid w:val="00BF7C9E"/>
    <w:rsid w:val="00C25CFF"/>
    <w:rsid w:val="00C34AAD"/>
    <w:rsid w:val="00CA63BE"/>
    <w:rsid w:val="00D202A2"/>
    <w:rsid w:val="00D543F3"/>
    <w:rsid w:val="00D56596"/>
    <w:rsid w:val="00D7602D"/>
    <w:rsid w:val="00D915DE"/>
    <w:rsid w:val="00E01F92"/>
    <w:rsid w:val="00EB5837"/>
    <w:rsid w:val="00F15220"/>
    <w:rsid w:val="00F71DCD"/>
    <w:rsid w:val="00F72C36"/>
    <w:rsid w:val="00F93CFB"/>
    <w:rsid w:val="24C97598"/>
    <w:rsid w:val="5BF9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165D"/>
  <w15:chartTrackingRefBased/>
  <w15:docId w15:val="{87C76F78-CACC-46ED-9F53-D2E522F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A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2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3482F-640A-4A56-A1FF-6F0B1175D67A}"/>
</file>

<file path=customXml/itemProps2.xml><?xml version="1.0" encoding="utf-8"?>
<ds:datastoreItem xmlns:ds="http://schemas.openxmlformats.org/officeDocument/2006/customXml" ds:itemID="{373D5CE3-804D-4EB0-9366-1559D6407BAE}"/>
</file>

<file path=customXml/itemProps3.xml><?xml version="1.0" encoding="utf-8"?>
<ds:datastoreItem xmlns:ds="http://schemas.openxmlformats.org/officeDocument/2006/customXml" ds:itemID="{43A9A973-E745-470A-8AD3-0EEA9F572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Skylark Song</dc:creator>
  <cp:keywords/>
  <dc:description/>
  <cp:lastModifiedBy>McRae, Emma</cp:lastModifiedBy>
  <cp:revision>2</cp:revision>
  <dcterms:created xsi:type="dcterms:W3CDTF">2022-01-14T09:08:00Z</dcterms:created>
  <dcterms:modified xsi:type="dcterms:W3CDTF">2022-01-14T09:08:00Z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