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2" w:rsidRPr="009218EA" w:rsidRDefault="00D202A2" w:rsidP="00D202A2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6C93A7" wp14:editId="226932E7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>
        <w:rPr>
          <w:b/>
          <w:lang w:val="en-GB"/>
        </w:rPr>
        <w:t>St Mary’s Catholic School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>Department Curriculum Planning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 xml:space="preserve">Department: </w:t>
      </w:r>
      <w:r>
        <w:rPr>
          <w:b/>
          <w:color w:val="7030A0"/>
          <w:lang w:val="en-GB"/>
        </w:rPr>
        <w:t xml:space="preserve">English </w:t>
      </w:r>
    </w:p>
    <w:p w:rsidR="00D202A2" w:rsidRDefault="00D202A2" w:rsidP="00D202A2">
      <w:pPr>
        <w:rPr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Year Group: </w:t>
      </w:r>
      <w:r w:rsidR="006341A6">
        <w:rPr>
          <w:b/>
          <w:color w:val="7030A0"/>
          <w:sz w:val="21"/>
          <w:szCs w:val="21"/>
          <w:lang w:val="en-GB"/>
        </w:rPr>
        <w:t>13</w:t>
      </w:r>
      <w:r w:rsidR="00875AE4">
        <w:rPr>
          <w:b/>
          <w:color w:val="7030A0"/>
          <w:sz w:val="21"/>
          <w:szCs w:val="21"/>
          <w:lang w:val="en-GB"/>
        </w:rPr>
        <w:t xml:space="preserve"> A Level </w:t>
      </w:r>
      <w:r w:rsidR="00F71DCD">
        <w:rPr>
          <w:b/>
          <w:color w:val="7030A0"/>
          <w:sz w:val="21"/>
          <w:szCs w:val="21"/>
          <w:lang w:val="en-GB"/>
        </w:rPr>
        <w:t>Film Studies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A37AC3" w:rsidRDefault="00D202A2" w:rsidP="00D202A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This is the plan for the taught curriculum during achievement period: </w:t>
      </w:r>
      <w:r w:rsidR="00875AE4">
        <w:rPr>
          <w:b/>
          <w:color w:val="7030A0"/>
          <w:sz w:val="21"/>
          <w:szCs w:val="21"/>
          <w:lang w:val="en-GB"/>
        </w:rPr>
        <w:t>One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Brief summary of the topic/work being covered during this period</w:t>
            </w:r>
            <w:r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D202A2" w:rsidRPr="007B04C0" w:rsidTr="00374376">
        <w:tc>
          <w:tcPr>
            <w:tcW w:w="10632" w:type="dxa"/>
          </w:tcPr>
          <w:p w:rsidR="005A5AC4" w:rsidRDefault="006341A6" w:rsidP="006341A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continue working on their NEA, writing a screenplay</w:t>
            </w:r>
          </w:p>
          <w:p w:rsidR="00CA63BE" w:rsidRPr="00CA63BE" w:rsidRDefault="006341A6" w:rsidP="001725F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</w:t>
            </w:r>
            <w:r w:rsidR="001725FF">
              <w:rPr>
                <w:sz w:val="21"/>
                <w:szCs w:val="21"/>
                <w:lang w:val="en-GB"/>
              </w:rPr>
              <w:t>s</w:t>
            </w:r>
            <w:r>
              <w:rPr>
                <w:sz w:val="21"/>
                <w:szCs w:val="21"/>
                <w:lang w:val="en-GB"/>
              </w:rPr>
              <w:t xml:space="preserve"> will study the film</w:t>
            </w:r>
            <w:r w:rsidR="00CA63BE">
              <w:rPr>
                <w:sz w:val="21"/>
                <w:szCs w:val="21"/>
                <w:lang w:val="en-GB"/>
              </w:rPr>
              <w:t>s</w:t>
            </w:r>
            <w:r>
              <w:rPr>
                <w:sz w:val="21"/>
                <w:szCs w:val="21"/>
                <w:lang w:val="en-GB"/>
              </w:rPr>
              <w:t xml:space="preserve"> Do The Right Thing</w:t>
            </w:r>
            <w:r w:rsidR="001725FF">
              <w:rPr>
                <w:sz w:val="21"/>
                <w:szCs w:val="21"/>
                <w:lang w:val="en-GB"/>
              </w:rPr>
              <w:t xml:space="preserve"> (second part of two-film study for Hollywood)</w:t>
            </w:r>
            <w:r>
              <w:rPr>
                <w:sz w:val="21"/>
                <w:szCs w:val="21"/>
                <w:lang w:val="en-GB"/>
              </w:rPr>
              <w:t xml:space="preserve"> and We Need To Talk About Kevin</w:t>
            </w:r>
            <w:r w:rsidR="00CA63BE">
              <w:rPr>
                <w:sz w:val="21"/>
                <w:szCs w:val="21"/>
                <w:lang w:val="en-GB"/>
              </w:rPr>
              <w:t xml:space="preserve"> </w:t>
            </w:r>
            <w:proofErr w:type="gramStart"/>
            <w:r w:rsidR="001725FF">
              <w:rPr>
                <w:sz w:val="21"/>
                <w:szCs w:val="21"/>
                <w:lang w:val="en-GB"/>
              </w:rPr>
              <w:t>( two</w:t>
            </w:r>
            <w:proofErr w:type="gramEnd"/>
            <w:r w:rsidR="001725FF">
              <w:rPr>
                <w:sz w:val="21"/>
                <w:szCs w:val="21"/>
                <w:lang w:val="en-GB"/>
              </w:rPr>
              <w:t>-film Study for British Cinema) to accompany</w:t>
            </w:r>
            <w:r w:rsidR="00CA63BE">
              <w:rPr>
                <w:sz w:val="21"/>
                <w:szCs w:val="21"/>
                <w:lang w:val="en-GB"/>
              </w:rPr>
              <w:t xml:space="preserve"> Trainspotting</w:t>
            </w:r>
            <w:r w:rsidR="001725FF">
              <w:rPr>
                <w:sz w:val="21"/>
                <w:szCs w:val="21"/>
                <w:lang w:val="en-GB"/>
              </w:rPr>
              <w:t>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D202A2" w:rsidRPr="007B04C0" w:rsidTr="00374376">
        <w:tc>
          <w:tcPr>
            <w:tcW w:w="10632" w:type="dxa"/>
          </w:tcPr>
          <w:p w:rsidR="006341A6" w:rsidRPr="00D915DE" w:rsidRDefault="00CA63BE" w:rsidP="006341A6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have all specialist terminology from Y12 and narrative work (see Year 12 terminology lists)</w:t>
            </w:r>
          </w:p>
          <w:p w:rsidR="005A5AC4" w:rsidRDefault="00CA63BE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 w:rsidRPr="00CA63BE">
              <w:rPr>
                <w:sz w:val="21"/>
                <w:szCs w:val="21"/>
                <w:lang w:val="en-GB"/>
              </w:rPr>
              <w:t>Students will have knowledge how to assess and judge films within their specific contexts</w:t>
            </w:r>
          </w:p>
          <w:p w:rsidR="00CA63BE" w:rsidRDefault="00CA63BE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already began NEA at the end of Y12 and have knowledge of screen-plays, story-boarding and all relevant terminology as well as required 80 minutes of short films. </w:t>
            </w:r>
          </w:p>
          <w:p w:rsidR="00CA63BE" w:rsidRDefault="00CA63BE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have studied American screen plays in detail which already introduces students to American cinema.</w:t>
            </w:r>
          </w:p>
          <w:p w:rsidR="00CA63BE" w:rsidRPr="00CA63BE" w:rsidRDefault="00CA63BE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have studied Old Hollywood and therefore understand the evolution of this place and genre.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="006341A6" w:rsidRPr="006341A6" w:rsidRDefault="006341A6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6341A6">
              <w:rPr>
                <w:sz w:val="21"/>
                <w:szCs w:val="21"/>
              </w:rPr>
              <w:t>Choice of film (Do the right thing/We need to talk about Kevin) raises cultural capital and experience of diverse voices within a mainstream setting</w:t>
            </w:r>
          </w:p>
          <w:p w:rsidR="006341A6" w:rsidRPr="006341A6" w:rsidRDefault="006341A6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6341A6">
              <w:rPr>
                <w:sz w:val="21"/>
                <w:szCs w:val="21"/>
              </w:rPr>
              <w:t>Choice of a screen play at NEA best exploits students’ skillsets enabling them to demonstrate their understanding of genre conventions.</w:t>
            </w:r>
          </w:p>
          <w:p w:rsidR="004F62D7" w:rsidRPr="006341A6" w:rsidRDefault="00D202A2" w:rsidP="00D543F3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6341A6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="006341A6" w:rsidRPr="006341A6" w:rsidRDefault="006341A6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6341A6">
              <w:rPr>
                <w:sz w:val="21"/>
                <w:szCs w:val="21"/>
              </w:rPr>
              <w:t>Beginning with NEA picks up the threads of the end of year 12, placing focus on a significant part of the course (weighted at 30%)</w:t>
            </w:r>
          </w:p>
          <w:p w:rsidR="00D543F3" w:rsidRPr="00D543F3" w:rsidRDefault="006341A6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6341A6">
              <w:rPr>
                <w:sz w:val="21"/>
                <w:szCs w:val="21"/>
              </w:rPr>
              <w:t xml:space="preserve">Placement of American Cinema at the start of Y13 allows a clear contrast with British Cinema in terms of </w:t>
            </w:r>
            <w:proofErr w:type="spellStart"/>
            <w:r w:rsidRPr="006341A6">
              <w:rPr>
                <w:sz w:val="21"/>
                <w:szCs w:val="21"/>
              </w:rPr>
              <w:t>analysing</w:t>
            </w:r>
            <w:proofErr w:type="spellEnd"/>
            <w:r w:rsidRPr="006341A6">
              <w:rPr>
                <w:sz w:val="21"/>
                <w:szCs w:val="21"/>
              </w:rPr>
              <w:t xml:space="preserve"> stylistic choices.</w:t>
            </w:r>
            <w:r>
              <w:rPr>
                <w:sz w:val="20"/>
              </w:rPr>
              <w:t xml:space="preserve"> </w:t>
            </w:r>
            <w:r w:rsidR="00D543F3">
              <w:rPr>
                <w:sz w:val="21"/>
                <w:szCs w:val="21"/>
              </w:rPr>
              <w:t xml:space="preserve">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Key concepts/ideas that are taught to students in this unit/topic, including any anticipated gaps in knowledge and plan to overcome these</w:t>
            </w:r>
          </w:p>
        </w:tc>
      </w:tr>
      <w:tr w:rsidR="00D202A2" w:rsidRPr="007B04C0" w:rsidTr="00374376">
        <w:tc>
          <w:tcPr>
            <w:tcW w:w="10632" w:type="dxa"/>
          </w:tcPr>
          <w:p w:rsidR="00D56596" w:rsidRDefault="00CA63BE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watch and study all named films in detail including applying the language of film, exploration of narrative and placing films in their genre, socio-political and historical contexts.</w:t>
            </w:r>
          </w:p>
          <w:p w:rsidR="00CA63BE" w:rsidRDefault="00CA63BE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</w:t>
            </w:r>
            <w:r w:rsidR="001725FF">
              <w:rPr>
                <w:sz w:val="21"/>
                <w:szCs w:val="21"/>
                <w:lang w:val="en-GB"/>
              </w:rPr>
              <w:t xml:space="preserve">analyse texts within their production context </w:t>
            </w:r>
            <w:r>
              <w:rPr>
                <w:sz w:val="21"/>
                <w:szCs w:val="21"/>
                <w:lang w:val="en-GB"/>
              </w:rPr>
              <w:t xml:space="preserve">i.e. </w:t>
            </w:r>
            <w:r w:rsidR="001725FF">
              <w:rPr>
                <w:sz w:val="21"/>
                <w:szCs w:val="21"/>
                <w:lang w:val="en-GB"/>
              </w:rPr>
              <w:t xml:space="preserve">Two-film study </w:t>
            </w:r>
            <w:r>
              <w:rPr>
                <w:sz w:val="21"/>
                <w:szCs w:val="21"/>
                <w:lang w:val="en-GB"/>
              </w:rPr>
              <w:t xml:space="preserve">British </w:t>
            </w:r>
            <w:r w:rsidR="001725FF">
              <w:rPr>
                <w:sz w:val="21"/>
                <w:szCs w:val="21"/>
                <w:lang w:val="en-GB"/>
              </w:rPr>
              <w:t>Cinema and New Hollywood and Classical</w:t>
            </w:r>
            <w:r>
              <w:rPr>
                <w:sz w:val="21"/>
                <w:szCs w:val="21"/>
                <w:lang w:val="en-GB"/>
              </w:rPr>
              <w:t xml:space="preserve"> Hollywood</w:t>
            </w:r>
            <w:r w:rsidR="001725FF">
              <w:rPr>
                <w:sz w:val="21"/>
                <w:szCs w:val="21"/>
                <w:lang w:val="en-GB"/>
              </w:rPr>
              <w:t xml:space="preserve"> - Comparison</w:t>
            </w:r>
            <w:bookmarkStart w:id="0" w:name="_GoBack"/>
            <w:bookmarkEnd w:id="0"/>
            <w:r>
              <w:rPr>
                <w:sz w:val="21"/>
                <w:szCs w:val="21"/>
                <w:lang w:val="en-GB"/>
              </w:rPr>
              <w:t xml:space="preserve">. </w:t>
            </w:r>
          </w:p>
          <w:p w:rsidR="00CA63BE" w:rsidRDefault="00CA63BE" w:rsidP="00CA63B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write their screen play and complete their NEA</w:t>
            </w:r>
          </w:p>
          <w:p w:rsidR="00CA63BE" w:rsidRDefault="00CA63BE" w:rsidP="00CA63B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complete an evaluative analysis within their NEA</w:t>
            </w:r>
          </w:p>
          <w:p w:rsidR="009B5B92" w:rsidRPr="00CA63BE" w:rsidRDefault="009B5B92" w:rsidP="00CA63B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begin the two-film study and will complete screenings of La </w:t>
            </w:r>
            <w:proofErr w:type="spellStart"/>
            <w:r>
              <w:rPr>
                <w:sz w:val="21"/>
                <w:szCs w:val="21"/>
                <w:lang w:val="en-GB"/>
              </w:rPr>
              <w:t>La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Land and Beasts of the Southern Wild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 key terminology students will be taught during this topic/unit</w:t>
            </w:r>
          </w:p>
        </w:tc>
      </w:tr>
      <w:tr w:rsidR="00D202A2" w:rsidRPr="007B04C0" w:rsidTr="00374376">
        <w:trPr>
          <w:trHeight w:val="640"/>
        </w:trPr>
        <w:tc>
          <w:tcPr>
            <w:tcW w:w="10632" w:type="dxa"/>
          </w:tcPr>
          <w:p w:rsidR="00D7602D" w:rsidRPr="009B5B92" w:rsidRDefault="00CA63BE" w:rsidP="00CA63BE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Multicultural</w:t>
            </w:r>
          </w:p>
          <w:p w:rsidR="009B5B92" w:rsidRPr="009B5B92" w:rsidRDefault="009B5B92" w:rsidP="009B5B92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Comparative</w:t>
            </w:r>
          </w:p>
          <w:p w:rsidR="00CA63BE" w:rsidRPr="00CA63BE" w:rsidRDefault="00CA63BE" w:rsidP="00CA63BE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Representations</w:t>
            </w:r>
          </w:p>
          <w:p w:rsidR="00CA63BE" w:rsidRPr="00CA63BE" w:rsidRDefault="00CA63BE" w:rsidP="00CA63BE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Institutions</w:t>
            </w:r>
          </w:p>
          <w:p w:rsidR="00CA63BE" w:rsidRPr="00CA63BE" w:rsidRDefault="009B5B92" w:rsidP="00CA63BE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Micro-features applicable to all films (covered in Y12 but revision needed)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Pr="007B04C0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:rsidR="009B5B92" w:rsidRPr="009B5B92" w:rsidRDefault="00D202A2" w:rsidP="009B5B9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students complete </w:t>
            </w:r>
            <w:r w:rsidR="006B4882">
              <w:rPr>
                <w:sz w:val="21"/>
                <w:szCs w:val="21"/>
                <w:lang w:val="en-GB"/>
              </w:rPr>
              <w:t>past paper questions on comparison of the two genres both marked out of 40</w:t>
            </w:r>
          </w:p>
          <w:p w:rsidR="00D202A2" w:rsidRPr="007B04C0" w:rsidRDefault="00D202A2" w:rsidP="009B5B9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Teachers are to record c</w:t>
            </w:r>
            <w:r w:rsidR="006B4882">
              <w:rPr>
                <w:sz w:val="21"/>
                <w:szCs w:val="21"/>
                <w:lang w:val="en-GB"/>
              </w:rPr>
              <w:t>entrally 1 single mark out of 40</w:t>
            </w:r>
            <w:r w:rsidRPr="007B04C0">
              <w:rPr>
                <w:sz w:val="21"/>
                <w:szCs w:val="21"/>
                <w:lang w:val="en-GB"/>
              </w:rPr>
              <w:t xml:space="preserve"> for the final assessed essay</w:t>
            </w:r>
            <w:r w:rsidR="006B4882">
              <w:rPr>
                <w:sz w:val="21"/>
                <w:szCs w:val="21"/>
                <w:lang w:val="en-GB"/>
              </w:rPr>
              <w:t>s</w:t>
            </w:r>
            <w:r w:rsidR="0074082C">
              <w:rPr>
                <w:sz w:val="21"/>
                <w:szCs w:val="21"/>
                <w:lang w:val="en-GB"/>
              </w:rPr>
              <w:t xml:space="preserve">. </w:t>
            </w:r>
            <w:r>
              <w:rPr>
                <w:sz w:val="21"/>
                <w:szCs w:val="21"/>
                <w:lang w:val="en-GB"/>
              </w:rPr>
              <w:t>Feedback on the work should indicate</w:t>
            </w:r>
            <w:r w:rsidR="00875AE4">
              <w:rPr>
                <w:sz w:val="21"/>
                <w:szCs w:val="21"/>
                <w:lang w:val="en-GB"/>
              </w:rPr>
              <w:t xml:space="preserve"> strengths and include feedback which clarifies misconceptions and develops students’ skills of analysis. Students should respond to this feedback. </w:t>
            </w:r>
          </w:p>
        </w:tc>
      </w:tr>
    </w:tbl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7A25E4" w:rsidRDefault="007A25E4"/>
    <w:sectPr w:rsidR="007A25E4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6766"/>
    <w:multiLevelType w:val="hybridMultilevel"/>
    <w:tmpl w:val="F6943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101"/>
    <w:multiLevelType w:val="hybridMultilevel"/>
    <w:tmpl w:val="64E8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C5C31"/>
    <w:multiLevelType w:val="hybridMultilevel"/>
    <w:tmpl w:val="39803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25FBC"/>
    <w:multiLevelType w:val="hybridMultilevel"/>
    <w:tmpl w:val="080A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70A9F"/>
    <w:multiLevelType w:val="hybridMultilevel"/>
    <w:tmpl w:val="7876C936"/>
    <w:lvl w:ilvl="0" w:tplc="1E0C09D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16BC7"/>
    <w:multiLevelType w:val="hybridMultilevel"/>
    <w:tmpl w:val="09E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57612"/>
    <w:multiLevelType w:val="hybridMultilevel"/>
    <w:tmpl w:val="9E62A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514C0D"/>
    <w:multiLevelType w:val="hybridMultilevel"/>
    <w:tmpl w:val="6396E122"/>
    <w:lvl w:ilvl="0" w:tplc="1E0C09D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312C"/>
    <w:multiLevelType w:val="hybridMultilevel"/>
    <w:tmpl w:val="319E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E117B"/>
    <w:multiLevelType w:val="hybridMultilevel"/>
    <w:tmpl w:val="79FE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16E67"/>
    <w:multiLevelType w:val="hybridMultilevel"/>
    <w:tmpl w:val="BF189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16"/>
  </w:num>
  <w:num w:numId="13">
    <w:abstractNumId w:val="13"/>
  </w:num>
  <w:num w:numId="14">
    <w:abstractNumId w:val="8"/>
  </w:num>
  <w:num w:numId="15">
    <w:abstractNumId w:val="12"/>
  </w:num>
  <w:num w:numId="16">
    <w:abstractNumId w:val="17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2"/>
    <w:rsid w:val="000B0C27"/>
    <w:rsid w:val="001725FF"/>
    <w:rsid w:val="001F19B0"/>
    <w:rsid w:val="00345A33"/>
    <w:rsid w:val="004F62D7"/>
    <w:rsid w:val="0050170E"/>
    <w:rsid w:val="005A5AC4"/>
    <w:rsid w:val="006301AF"/>
    <w:rsid w:val="006341A6"/>
    <w:rsid w:val="006B4882"/>
    <w:rsid w:val="006D276F"/>
    <w:rsid w:val="007240E4"/>
    <w:rsid w:val="0074082C"/>
    <w:rsid w:val="007A25E4"/>
    <w:rsid w:val="007D1D82"/>
    <w:rsid w:val="00875AE4"/>
    <w:rsid w:val="008A6727"/>
    <w:rsid w:val="009055F9"/>
    <w:rsid w:val="0096445C"/>
    <w:rsid w:val="009818C7"/>
    <w:rsid w:val="009B5B92"/>
    <w:rsid w:val="009D7640"/>
    <w:rsid w:val="00A32435"/>
    <w:rsid w:val="00A37AC3"/>
    <w:rsid w:val="00B356B5"/>
    <w:rsid w:val="00BF7C9E"/>
    <w:rsid w:val="00C34AAD"/>
    <w:rsid w:val="00CA63BE"/>
    <w:rsid w:val="00D202A2"/>
    <w:rsid w:val="00D543F3"/>
    <w:rsid w:val="00D56596"/>
    <w:rsid w:val="00D7602D"/>
    <w:rsid w:val="00D915DE"/>
    <w:rsid w:val="00E01F92"/>
    <w:rsid w:val="00EB5837"/>
    <w:rsid w:val="00F15220"/>
    <w:rsid w:val="00F71DCD"/>
    <w:rsid w:val="00F9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2899"/>
  <w15:chartTrackingRefBased/>
  <w15:docId w15:val="{87C76F78-CACC-46ED-9F53-D2E522F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A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2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EDCA2-A06F-4693-A978-24768F50408E}"/>
</file>

<file path=customXml/itemProps2.xml><?xml version="1.0" encoding="utf-8"?>
<ds:datastoreItem xmlns:ds="http://schemas.openxmlformats.org/officeDocument/2006/customXml" ds:itemID="{38FFBD5F-01E0-4E05-A99D-F7D0B43F1FCB}"/>
</file>

<file path=customXml/itemProps3.xml><?xml version="1.0" encoding="utf-8"?>
<ds:datastoreItem xmlns:ds="http://schemas.openxmlformats.org/officeDocument/2006/customXml" ds:itemID="{2EB0B562-0A01-4457-82EB-C61A0B699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Skylark Song</dc:creator>
  <cp:keywords/>
  <dc:description/>
  <cp:lastModifiedBy>Tait, Stephen</cp:lastModifiedBy>
  <cp:revision>6</cp:revision>
  <dcterms:created xsi:type="dcterms:W3CDTF">2021-07-19T19:04:00Z</dcterms:created>
  <dcterms:modified xsi:type="dcterms:W3CDTF">2021-07-27T11:11:00Z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