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555C6906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97512A">
        <w:rPr>
          <w:b/>
          <w:color w:val="7030A0"/>
          <w:lang w:val="en-GB"/>
        </w:rPr>
        <w:t xml:space="preserve">English 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1EBA4D3F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97512A">
        <w:rPr>
          <w:b/>
          <w:color w:val="7030A0"/>
          <w:sz w:val="21"/>
          <w:szCs w:val="21"/>
          <w:lang w:val="en-GB"/>
        </w:rPr>
        <w:t>7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3D855E0C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16765E">
        <w:rPr>
          <w:b/>
          <w:color w:val="7030A0"/>
          <w:sz w:val="21"/>
          <w:szCs w:val="21"/>
          <w:lang w:val="en-GB"/>
        </w:rPr>
        <w:t xml:space="preserve">Two </w:t>
      </w:r>
      <w:r w:rsidR="0097512A">
        <w:rPr>
          <w:b/>
          <w:color w:val="7030A0"/>
          <w:sz w:val="21"/>
          <w:szCs w:val="21"/>
          <w:lang w:val="en-GB"/>
        </w:rPr>
        <w:t xml:space="preserve">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2D98040A" w14:textId="32F0EF5D" w:rsidR="001C215D" w:rsidRDefault="001C215D" w:rsidP="00170D67">
            <w:pPr>
              <w:rPr>
                <w:sz w:val="21"/>
                <w:szCs w:val="21"/>
                <w:lang w:val="en-GB"/>
              </w:rPr>
            </w:pPr>
          </w:p>
          <w:p w14:paraId="1B91F665" w14:textId="03BAC6A0" w:rsidR="00461466" w:rsidRDefault="001C215D" w:rsidP="00461466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are introduced to the study of </w:t>
            </w:r>
            <w:r w:rsidR="00461466">
              <w:rPr>
                <w:sz w:val="21"/>
                <w:szCs w:val="21"/>
                <w:lang w:val="en-GB"/>
              </w:rPr>
              <w:t>19</w:t>
            </w:r>
            <w:r w:rsidR="00461466" w:rsidRPr="00461466">
              <w:rPr>
                <w:sz w:val="21"/>
                <w:szCs w:val="21"/>
                <w:vertAlign w:val="superscript"/>
                <w:lang w:val="en-GB"/>
              </w:rPr>
              <w:t>th</w:t>
            </w:r>
            <w:r w:rsidR="00461466">
              <w:rPr>
                <w:sz w:val="21"/>
                <w:szCs w:val="21"/>
                <w:lang w:val="en-GB"/>
              </w:rPr>
              <w:t xml:space="preserve"> century prose through their study of Frankenstein by Mary Shelley.</w:t>
            </w:r>
            <w:r w:rsidR="00E249F2">
              <w:rPr>
                <w:sz w:val="21"/>
                <w:szCs w:val="21"/>
                <w:lang w:val="en-GB"/>
              </w:rPr>
              <w:t xml:space="preserve"> (NB very low ability students may study an abridged and simplified version of the text). </w:t>
            </w:r>
            <w:r w:rsidR="00461466">
              <w:rPr>
                <w:sz w:val="21"/>
                <w:szCs w:val="21"/>
                <w:lang w:val="en-GB"/>
              </w:rPr>
              <w:t xml:space="preserve"> </w:t>
            </w:r>
          </w:p>
          <w:p w14:paraId="398BE63C" w14:textId="0391D6CC" w:rsidR="001C215D" w:rsidRDefault="00461466" w:rsidP="001C215D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are introduced to the gothic genre and associated conventions. </w:t>
            </w:r>
          </w:p>
          <w:p w14:paraId="0CE9FD38" w14:textId="5D078250" w:rsidR="00461466" w:rsidRDefault="00461466" w:rsidP="001C215D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explore the creation of tension and the use of foreshadowing in the novel and other related texts and aim to use these methods skilfully in their own writing. </w:t>
            </w:r>
          </w:p>
          <w:p w14:paraId="4F0AE849" w14:textId="69E142C2" w:rsidR="00461466" w:rsidRPr="00461466" w:rsidRDefault="00461466" w:rsidP="001C215D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explore relevant contextual themes </w:t>
            </w:r>
            <w:proofErr w:type="spellStart"/>
            <w:r>
              <w:rPr>
                <w:sz w:val="21"/>
                <w:szCs w:val="21"/>
                <w:lang w:val="en-GB"/>
              </w:rPr>
              <w:t>eg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science, religion, exploration and explore these ideas in their own writing. </w:t>
            </w:r>
          </w:p>
          <w:p w14:paraId="19C23ED5" w14:textId="6D4C3E0F" w:rsidR="00170D67" w:rsidRPr="00170D67" w:rsidRDefault="00170D67" w:rsidP="00461466"/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7C420CD7" w14:textId="664EFFB4" w:rsidR="007B1995" w:rsidRPr="0097512A" w:rsidRDefault="007B1995" w:rsidP="0097512A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  <w:lang w:val="en-GB"/>
              </w:rPr>
            </w:pPr>
            <w:r w:rsidRPr="0097512A">
              <w:rPr>
                <w:sz w:val="21"/>
                <w:szCs w:val="21"/>
                <w:lang w:val="en-GB"/>
              </w:rPr>
              <w:t>Knowledge of how to engage with literature and form a personal response based on evidence based on all work on literature so far.</w:t>
            </w:r>
          </w:p>
          <w:p w14:paraId="71A17C36" w14:textId="05F76314" w:rsidR="007B1995" w:rsidRPr="0097512A" w:rsidRDefault="007B1995" w:rsidP="0097512A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Knowledge of language analysis: focusing on the words and phrases the writer uses and the ef</w:t>
            </w:r>
            <w:r w:rsidR="0097512A">
              <w:rPr>
                <w:sz w:val="21"/>
                <w:szCs w:val="21"/>
                <w:lang w:val="en-GB"/>
              </w:rPr>
              <w:t xml:space="preserve">fect created on the reader – building and developing on technical approach of KS2 to achieve a more holistic consideration of effect. </w:t>
            </w:r>
          </w:p>
          <w:p w14:paraId="30878C56" w14:textId="7393342C" w:rsidR="007B1995" w:rsidRPr="007B04C0" w:rsidRDefault="007B1995" w:rsidP="007B1995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Ke</w:t>
            </w:r>
            <w:r w:rsidR="00EA5BFF">
              <w:rPr>
                <w:sz w:val="21"/>
                <w:szCs w:val="21"/>
                <w:lang w:val="en-GB"/>
              </w:rPr>
              <w:t>y lite</w:t>
            </w:r>
            <w:r w:rsidR="00461466">
              <w:rPr>
                <w:sz w:val="21"/>
                <w:szCs w:val="21"/>
                <w:lang w:val="en-GB"/>
              </w:rPr>
              <w:t>rary terminology: genre, genre conventions, author, reader</w:t>
            </w:r>
            <w:r w:rsidRPr="007B04C0">
              <w:rPr>
                <w:sz w:val="21"/>
                <w:szCs w:val="21"/>
                <w:lang w:val="en-GB"/>
              </w:rPr>
              <w:t>, setting, char</w:t>
            </w:r>
            <w:r w:rsidR="0097512A">
              <w:rPr>
                <w:sz w:val="21"/>
                <w:szCs w:val="21"/>
                <w:lang w:val="en-GB"/>
              </w:rPr>
              <w:t xml:space="preserve">acter, theme, reader, context.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2B4D2D1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4AC8010E" w14:textId="65BC0B83" w:rsidR="00EA5BFF" w:rsidRDefault="00461466" w:rsidP="00EA5BFF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study 19</w:t>
            </w:r>
            <w:r w:rsidRPr="00461466">
              <w:rPr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sz w:val="21"/>
                <w:szCs w:val="21"/>
                <w:lang w:val="en-GB"/>
              </w:rPr>
              <w:t xml:space="preserve"> century literature</w:t>
            </w:r>
            <w:r w:rsidR="00EA5BFF" w:rsidRPr="00EA5BFF">
              <w:rPr>
                <w:sz w:val="21"/>
                <w:szCs w:val="21"/>
                <w:lang w:val="en-GB"/>
              </w:rPr>
              <w:t xml:space="preserve"> throughout their time at St Mary’s in</w:t>
            </w:r>
            <w:r w:rsidR="00EA5BFF">
              <w:rPr>
                <w:sz w:val="21"/>
                <w:szCs w:val="21"/>
                <w:lang w:val="en-GB"/>
              </w:rPr>
              <w:t xml:space="preserve"> KS</w:t>
            </w:r>
            <w:r w:rsidR="00EA5BFF" w:rsidRPr="00EA5BFF">
              <w:rPr>
                <w:sz w:val="21"/>
                <w:szCs w:val="21"/>
                <w:lang w:val="en-GB"/>
              </w:rPr>
              <w:t>3 and in KS4.  It is important that studen</w:t>
            </w:r>
            <w:r>
              <w:rPr>
                <w:sz w:val="21"/>
                <w:szCs w:val="21"/>
                <w:lang w:val="en-GB"/>
              </w:rPr>
              <w:t>ts are introduced to literature from this period in a way which emphasises it’s</w:t>
            </w:r>
            <w:r w:rsidR="00EA5BFF" w:rsidRPr="00EA5BFF">
              <w:rPr>
                <w:sz w:val="21"/>
                <w:szCs w:val="21"/>
                <w:lang w:val="en-GB"/>
              </w:rPr>
              <w:t xml:space="preserve"> cultural</w:t>
            </w:r>
            <w:r>
              <w:rPr>
                <w:sz w:val="21"/>
                <w:szCs w:val="21"/>
                <w:lang w:val="en-GB"/>
              </w:rPr>
              <w:t xml:space="preserve"> and aesthetic value</w:t>
            </w:r>
            <w:r w:rsidR="00EA5BFF" w:rsidRPr="00EA5BFF">
              <w:rPr>
                <w:sz w:val="21"/>
                <w:szCs w:val="21"/>
                <w:lang w:val="en-GB"/>
              </w:rPr>
              <w:t xml:space="preserve"> and makes it seem accessible, relevant, memorable and enjoyable.  </w:t>
            </w:r>
            <w:r w:rsidR="00E249F2">
              <w:rPr>
                <w:sz w:val="21"/>
                <w:szCs w:val="21"/>
                <w:lang w:val="en-GB"/>
              </w:rPr>
              <w:t>Students will then go on to study a range of other 19</w:t>
            </w:r>
            <w:r w:rsidR="00E249F2" w:rsidRPr="00E249F2">
              <w:rPr>
                <w:sz w:val="21"/>
                <w:szCs w:val="21"/>
                <w:vertAlign w:val="superscript"/>
                <w:lang w:val="en-GB"/>
              </w:rPr>
              <w:t>th</w:t>
            </w:r>
            <w:r w:rsidR="00E249F2">
              <w:rPr>
                <w:sz w:val="21"/>
                <w:szCs w:val="21"/>
                <w:lang w:val="en-GB"/>
              </w:rPr>
              <w:t xml:space="preserve"> century writers as they move through the school, such as Arthur Conan Doyle, Robert Louis Stevenson and Charles Dickens. </w:t>
            </w:r>
          </w:p>
          <w:p w14:paraId="13114E85" w14:textId="230DB4C5" w:rsidR="00461466" w:rsidRDefault="00461466" w:rsidP="00EA5BFF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novel Frankenstein is culturally and canonically significant and has a signif</w:t>
            </w:r>
            <w:r w:rsidR="00FF0B88">
              <w:rPr>
                <w:sz w:val="21"/>
                <w:szCs w:val="21"/>
                <w:lang w:val="en-GB"/>
              </w:rPr>
              <w:t xml:space="preserve">icant literary legacy.  </w:t>
            </w:r>
          </w:p>
          <w:p w14:paraId="5FDCA1B0" w14:textId="4952E071" w:rsidR="00FF0B88" w:rsidRDefault="00FF0B88" w:rsidP="00EA5BFF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novel draws upon ideas from classical literature and mythology, most notably the myth of Prometheus, which is still a pertinent idea in our times. </w:t>
            </w:r>
          </w:p>
          <w:p w14:paraId="0CF1ADFF" w14:textId="08169159" w:rsidR="00FF0B88" w:rsidRPr="00EA5BFF" w:rsidRDefault="00FF0B88" w:rsidP="00EA5BFF">
            <w:pPr>
              <w:pStyle w:val="ListParagraph"/>
              <w:numPr>
                <w:ilvl w:val="0"/>
                <w:numId w:val="21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novel provides a means for students to explore “big questions” about human nature, including questions about science, power, responsibility, nature, and knowledge. </w:t>
            </w:r>
          </w:p>
          <w:p w14:paraId="42EC5C81" w14:textId="77777777" w:rsidR="007B1995" w:rsidRPr="007B04C0" w:rsidRDefault="007B1995" w:rsidP="007B1995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  <w:bookmarkStart w:id="0" w:name="_GoBack"/>
            <w:bookmarkEnd w:id="0"/>
          </w:p>
          <w:p w14:paraId="16EBCCB4" w14:textId="1026455A" w:rsidR="00AB6014" w:rsidRPr="00FF0B88" w:rsidRDefault="00FF0B88" w:rsidP="00FF0B88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1"/>
                <w:szCs w:val="21"/>
                <w:lang w:val="en-GB"/>
              </w:rPr>
            </w:pPr>
            <w:r w:rsidRPr="00FF0B88">
              <w:rPr>
                <w:sz w:val="21"/>
                <w:szCs w:val="21"/>
                <w:lang w:val="en-GB"/>
              </w:rPr>
              <w:t>The idea of Frankenstein’s monster</w:t>
            </w:r>
            <w:r w:rsidR="001D2708">
              <w:rPr>
                <w:sz w:val="21"/>
                <w:szCs w:val="21"/>
                <w:lang w:val="en-GB"/>
              </w:rPr>
              <w:t>, and monsters in general,</w:t>
            </w:r>
            <w:r w:rsidRPr="00FF0B88">
              <w:rPr>
                <w:sz w:val="21"/>
                <w:szCs w:val="21"/>
                <w:lang w:val="en-GB"/>
              </w:rPr>
              <w:t xml:space="preserve"> is one that many students will be familiar with from popular culture.  The novel is therefore </w:t>
            </w:r>
            <w:r w:rsidR="00EA5BFF" w:rsidRPr="00FF0B88">
              <w:rPr>
                <w:sz w:val="21"/>
                <w:szCs w:val="21"/>
                <w:lang w:val="en-GB"/>
              </w:rPr>
              <w:t>well placed as i</w:t>
            </w:r>
            <w:r w:rsidRPr="00FF0B88">
              <w:rPr>
                <w:sz w:val="21"/>
                <w:szCs w:val="21"/>
                <w:lang w:val="en-GB"/>
              </w:rPr>
              <w:t>ntroductory texts 19</w:t>
            </w:r>
            <w:r w:rsidRPr="00FF0B88">
              <w:rPr>
                <w:sz w:val="21"/>
                <w:szCs w:val="21"/>
                <w:vertAlign w:val="superscript"/>
                <w:lang w:val="en-GB"/>
              </w:rPr>
              <w:t>th</w:t>
            </w:r>
            <w:r w:rsidRPr="00FF0B88">
              <w:rPr>
                <w:sz w:val="21"/>
                <w:szCs w:val="21"/>
                <w:lang w:val="en-GB"/>
              </w:rPr>
              <w:t xml:space="preserve"> century and the gothic</w:t>
            </w:r>
            <w:r w:rsidR="00EA5BFF" w:rsidRPr="00FF0B88">
              <w:rPr>
                <w:sz w:val="21"/>
                <w:szCs w:val="21"/>
                <w:lang w:val="en-GB"/>
              </w:rPr>
              <w:t xml:space="preserve">. </w:t>
            </w:r>
          </w:p>
          <w:p w14:paraId="39D38F58" w14:textId="693A5AEA" w:rsidR="00FF0B88" w:rsidRPr="00FF0B88" w:rsidRDefault="00FF0B88" w:rsidP="00FF0B88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1"/>
                <w:szCs w:val="21"/>
                <w:lang w:val="en-GB"/>
              </w:rPr>
            </w:pPr>
            <w:r w:rsidRPr="00FF0B88">
              <w:rPr>
                <w:sz w:val="21"/>
                <w:szCs w:val="21"/>
                <w:lang w:val="en-GB"/>
              </w:rPr>
              <w:t>The language of the text is perhaps more challenging then texts previously studied in Y7, due to the nature of 19</w:t>
            </w:r>
            <w:r w:rsidRPr="00FF0B88">
              <w:rPr>
                <w:sz w:val="21"/>
                <w:szCs w:val="21"/>
                <w:vertAlign w:val="superscript"/>
                <w:lang w:val="en-GB"/>
              </w:rPr>
              <w:t>th</w:t>
            </w:r>
            <w:r w:rsidRPr="00FF0B88">
              <w:rPr>
                <w:sz w:val="21"/>
                <w:szCs w:val="21"/>
                <w:lang w:val="en-GB"/>
              </w:rPr>
              <w:t xml:space="preserve"> century syntax and vocabulary, so this text is well placed at the end of the year. </w:t>
            </w:r>
          </w:p>
          <w:p w14:paraId="27C56A2D" w14:textId="2ABD70D2" w:rsidR="00B54F65" w:rsidRPr="007B04C0" w:rsidRDefault="00B54F65" w:rsidP="00E249F2">
            <w:pPr>
              <w:pStyle w:val="ListParagraph"/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017385B0" w14:textId="029DB827" w:rsidR="00E249F2" w:rsidRDefault="00B54F65" w:rsidP="00E249F2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 w:rsidRPr="00E249F2">
              <w:rPr>
                <w:sz w:val="21"/>
                <w:szCs w:val="21"/>
                <w:lang w:val="en-GB"/>
              </w:rPr>
              <w:t xml:space="preserve">Students will be introduced to the </w:t>
            </w:r>
            <w:r w:rsidR="00E249F2">
              <w:rPr>
                <w:sz w:val="21"/>
                <w:szCs w:val="21"/>
                <w:lang w:val="en-GB"/>
              </w:rPr>
              <w:t xml:space="preserve">gothic genre and its conventions and origins. </w:t>
            </w:r>
          </w:p>
          <w:p w14:paraId="77AE6178" w14:textId="746CA617" w:rsidR="00E249F2" w:rsidRPr="00E249F2" w:rsidRDefault="00E249F2" w:rsidP="00E249F2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know the plot, characters, settings and themes of the novel</w:t>
            </w:r>
          </w:p>
          <w:p w14:paraId="7D9EA53E" w14:textId="42D93523" w:rsidR="00B54F65" w:rsidRDefault="00B54F65" w:rsidP="00CC15C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 w:rsidRPr="00E249F2">
              <w:rPr>
                <w:sz w:val="21"/>
                <w:szCs w:val="21"/>
                <w:lang w:val="en-GB"/>
              </w:rPr>
              <w:t xml:space="preserve">They will explore how language </w:t>
            </w:r>
            <w:r w:rsidR="00E249F2">
              <w:rPr>
                <w:sz w:val="21"/>
                <w:szCs w:val="21"/>
                <w:lang w:val="en-GB"/>
              </w:rPr>
              <w:t xml:space="preserve">is used in the novel to create atmosphere and tension and will aim to replicate this in their own creative writing. </w:t>
            </w:r>
          </w:p>
          <w:p w14:paraId="21D85117" w14:textId="29360687" w:rsidR="00E249F2" w:rsidRDefault="00E249F2" w:rsidP="00CC15C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will explore how foreshadowing is used in Frankenstein and other gothic texts such as The Tell Tale Heart by Poe. </w:t>
            </w:r>
          </w:p>
          <w:p w14:paraId="18A53A45" w14:textId="43AA6431" w:rsidR="00E249F2" w:rsidRPr="00E249F2" w:rsidRDefault="00E249F2" w:rsidP="00CC15C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will explore the Myth of Prometheus and use this as inspiration for their own creative writing. </w:t>
            </w:r>
          </w:p>
          <w:p w14:paraId="6784E8EC" w14:textId="586CE059" w:rsidR="00B54F65" w:rsidRPr="00B54F65" w:rsidRDefault="001D2708" w:rsidP="00FD3130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will look at contextual details of Mary Shelley’s life, developments in science and exploration, and the significance of the </w:t>
            </w:r>
            <w:proofErr w:type="spellStart"/>
            <w:r>
              <w:rPr>
                <w:sz w:val="21"/>
                <w:szCs w:val="21"/>
                <w:lang w:val="en-GB"/>
              </w:rPr>
              <w:t>bodysnatchers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Burke and Hare as background to the text. </w:t>
            </w: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552130A4" w14:textId="1EF20D85" w:rsidR="00E249F2" w:rsidRPr="00E249F2" w:rsidRDefault="00E249F2" w:rsidP="00E249F2">
            <w:pPr>
              <w:pStyle w:val="ListParagraph"/>
              <w:numPr>
                <w:ilvl w:val="0"/>
                <w:numId w:val="1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gothic, a</w:t>
            </w:r>
            <w:r w:rsidRPr="00E249F2">
              <w:rPr>
                <w:b/>
                <w:sz w:val="21"/>
                <w:szCs w:val="21"/>
                <w:lang w:val="en-GB"/>
              </w:rPr>
              <w:t>llegory</w:t>
            </w:r>
            <w:r>
              <w:rPr>
                <w:b/>
                <w:sz w:val="21"/>
                <w:szCs w:val="21"/>
                <w:lang w:val="en-GB"/>
              </w:rPr>
              <w:t>, f</w:t>
            </w:r>
            <w:r w:rsidRPr="00E249F2">
              <w:rPr>
                <w:b/>
                <w:sz w:val="21"/>
                <w:szCs w:val="21"/>
                <w:lang w:val="en-GB"/>
              </w:rPr>
              <w:t>oreshadowing</w:t>
            </w:r>
            <w:r>
              <w:rPr>
                <w:b/>
                <w:sz w:val="21"/>
                <w:szCs w:val="21"/>
                <w:lang w:val="en-GB"/>
              </w:rPr>
              <w:t>, tension, n</w:t>
            </w:r>
            <w:r w:rsidRPr="00E249F2">
              <w:rPr>
                <w:b/>
                <w:sz w:val="21"/>
                <w:szCs w:val="21"/>
                <w:lang w:val="en-GB"/>
              </w:rPr>
              <w:t>arrative structure</w:t>
            </w:r>
            <w:r>
              <w:rPr>
                <w:b/>
                <w:sz w:val="21"/>
                <w:szCs w:val="21"/>
                <w:lang w:val="en-GB"/>
              </w:rPr>
              <w:t>, a</w:t>
            </w:r>
            <w:r w:rsidRPr="00E249F2">
              <w:rPr>
                <w:b/>
                <w:sz w:val="21"/>
                <w:szCs w:val="21"/>
                <w:lang w:val="en-GB"/>
              </w:rPr>
              <w:t>llusion</w:t>
            </w:r>
            <w:r>
              <w:rPr>
                <w:b/>
                <w:sz w:val="21"/>
                <w:szCs w:val="21"/>
                <w:lang w:val="en-GB"/>
              </w:rPr>
              <w:t>, rhetoric</w:t>
            </w:r>
          </w:p>
          <w:p w14:paraId="7134982D" w14:textId="60B4689E" w:rsidR="00170D67" w:rsidRPr="001C215D" w:rsidRDefault="00170D67" w:rsidP="001C215D">
            <w:pPr>
              <w:rPr>
                <w:b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73027234" w14:textId="21985433" w:rsidR="00664176" w:rsidRPr="007B04C0" w:rsidRDefault="00664176" w:rsidP="00D41C18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lastRenderedPageBreak/>
              <w:t>Informal assessment is ongoing through</w:t>
            </w:r>
            <w:r w:rsidR="00F56CCA" w:rsidRPr="007B04C0">
              <w:rPr>
                <w:sz w:val="21"/>
                <w:szCs w:val="21"/>
                <w:lang w:val="en-GB"/>
              </w:rPr>
              <w:t xml:space="preserve"> homework, classwork, contributions to class discussion/group work.</w:t>
            </w:r>
          </w:p>
          <w:p w14:paraId="21077679" w14:textId="08BD2334" w:rsidR="0097512A" w:rsidRPr="0097512A" w:rsidRDefault="0097512A" w:rsidP="0097512A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Formal assessment – students complete one formal reading and one formal writing assessment in this unit. </w:t>
            </w:r>
          </w:p>
          <w:p w14:paraId="04233BC0" w14:textId="5C695561" w:rsidR="00717220" w:rsidRPr="007B04C0" w:rsidRDefault="00D239EE" w:rsidP="0097512A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Teachers are to record centrally 1 single mark out of 30 for the final assessed essay</w:t>
            </w:r>
            <w:r w:rsidR="0097512A">
              <w:rPr>
                <w:sz w:val="21"/>
                <w:szCs w:val="21"/>
                <w:lang w:val="en-GB"/>
              </w:rPr>
              <w:t xml:space="preserve"> and a mark</w:t>
            </w:r>
            <w:r w:rsidR="00962C3E">
              <w:rPr>
                <w:sz w:val="21"/>
                <w:szCs w:val="21"/>
                <w:lang w:val="en-GB"/>
              </w:rPr>
              <w:t xml:space="preserve"> out of 40 for the writing task</w:t>
            </w:r>
            <w:r w:rsidRPr="007B04C0">
              <w:rPr>
                <w:sz w:val="21"/>
                <w:szCs w:val="21"/>
                <w:lang w:val="en-GB"/>
              </w:rPr>
              <w:t>. Teachers may choose to record the marks in thei</w:t>
            </w:r>
            <w:r w:rsidR="0097512A">
              <w:rPr>
                <w:sz w:val="21"/>
                <w:szCs w:val="21"/>
                <w:lang w:val="en-GB"/>
              </w:rPr>
              <w:t>r planner. Feedback on the work should indicate</w:t>
            </w:r>
            <w:r w:rsidRPr="007B04C0">
              <w:rPr>
                <w:sz w:val="21"/>
                <w:szCs w:val="21"/>
                <w:lang w:val="en-GB"/>
              </w:rPr>
              <w:t xml:space="preserve"> a s</w:t>
            </w:r>
            <w:r w:rsidR="0097512A">
              <w:rPr>
                <w:sz w:val="21"/>
                <w:szCs w:val="21"/>
                <w:lang w:val="en-GB"/>
              </w:rPr>
              <w:t>trength of the essay and an area</w:t>
            </w:r>
            <w:r w:rsidRPr="007B04C0">
              <w:rPr>
                <w:sz w:val="21"/>
                <w:szCs w:val="21"/>
                <w:lang w:val="en-GB"/>
              </w:rPr>
              <w:t xml:space="preserve"> to develop in line with the KS3 frameworks. </w:t>
            </w:r>
          </w:p>
        </w:tc>
      </w:tr>
    </w:tbl>
    <w:p w14:paraId="1CE33F4D" w14:textId="7A554DEF" w:rsidR="00F95822" w:rsidRPr="007B04C0" w:rsidRDefault="00F95822">
      <w:pPr>
        <w:rPr>
          <w:sz w:val="21"/>
          <w:szCs w:val="21"/>
          <w:lang w:val="en-GB"/>
        </w:rPr>
      </w:pPr>
    </w:p>
    <w:p w14:paraId="3C0DD892" w14:textId="5AF8FCF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6CB6E7D" w14:textId="255AAFAB" w:rsidR="007B1995" w:rsidRPr="007B1995" w:rsidRDefault="007B1995">
      <w:pPr>
        <w:rPr>
          <w:sz w:val="20"/>
          <w:szCs w:val="20"/>
          <w:lang w:val="en-GB"/>
        </w:rPr>
      </w:pPr>
    </w:p>
    <w:p w14:paraId="2311E912" w14:textId="012728F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3C2E9A5D" w:rsidR="00312C50" w:rsidRPr="00312C50" w:rsidRDefault="00312C50">
      <w:pPr>
        <w:rPr>
          <w:lang w:val="en-GB"/>
        </w:rPr>
      </w:pPr>
    </w:p>
    <w:sectPr w:rsidR="00312C50" w:rsidRPr="00312C50" w:rsidSect="00B54F6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479D"/>
    <w:multiLevelType w:val="hybridMultilevel"/>
    <w:tmpl w:val="353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27CAA"/>
    <w:multiLevelType w:val="hybridMultilevel"/>
    <w:tmpl w:val="BA4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26C71"/>
    <w:multiLevelType w:val="hybridMultilevel"/>
    <w:tmpl w:val="354C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BED1689"/>
    <w:multiLevelType w:val="hybridMultilevel"/>
    <w:tmpl w:val="E736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0045621"/>
    <w:multiLevelType w:val="hybridMultilevel"/>
    <w:tmpl w:val="D884CE0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C874609"/>
    <w:multiLevelType w:val="hybridMultilevel"/>
    <w:tmpl w:val="0B260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C490F"/>
    <w:multiLevelType w:val="hybridMultilevel"/>
    <w:tmpl w:val="21A05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19"/>
  </w:num>
  <w:num w:numId="5">
    <w:abstractNumId w:val="3"/>
  </w:num>
  <w:num w:numId="6">
    <w:abstractNumId w:val="17"/>
  </w:num>
  <w:num w:numId="7">
    <w:abstractNumId w:val="11"/>
  </w:num>
  <w:num w:numId="8">
    <w:abstractNumId w:val="14"/>
  </w:num>
  <w:num w:numId="9">
    <w:abstractNumId w:val="20"/>
  </w:num>
  <w:num w:numId="10">
    <w:abstractNumId w:val="0"/>
  </w:num>
  <w:num w:numId="11">
    <w:abstractNumId w:val="13"/>
  </w:num>
  <w:num w:numId="12">
    <w:abstractNumId w:val="7"/>
  </w:num>
  <w:num w:numId="13">
    <w:abstractNumId w:val="10"/>
  </w:num>
  <w:num w:numId="14">
    <w:abstractNumId w:val="8"/>
  </w:num>
  <w:num w:numId="15">
    <w:abstractNumId w:val="9"/>
  </w:num>
  <w:num w:numId="16">
    <w:abstractNumId w:val="4"/>
  </w:num>
  <w:num w:numId="17">
    <w:abstractNumId w:val="5"/>
  </w:num>
  <w:num w:numId="18">
    <w:abstractNumId w:val="16"/>
  </w:num>
  <w:num w:numId="19">
    <w:abstractNumId w:val="1"/>
  </w:num>
  <w:num w:numId="20">
    <w:abstractNumId w:val="12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8B9"/>
    <w:rsid w:val="0007733D"/>
    <w:rsid w:val="000C3865"/>
    <w:rsid w:val="001000DD"/>
    <w:rsid w:val="00122AA1"/>
    <w:rsid w:val="00166FEB"/>
    <w:rsid w:val="0016765E"/>
    <w:rsid w:val="00170D67"/>
    <w:rsid w:val="001A2BA4"/>
    <w:rsid w:val="001C215D"/>
    <w:rsid w:val="001C5F99"/>
    <w:rsid w:val="001D2708"/>
    <w:rsid w:val="00226561"/>
    <w:rsid w:val="00255136"/>
    <w:rsid w:val="002E3DD3"/>
    <w:rsid w:val="003074B3"/>
    <w:rsid w:val="00312C50"/>
    <w:rsid w:val="00341A93"/>
    <w:rsid w:val="003465A2"/>
    <w:rsid w:val="00373102"/>
    <w:rsid w:val="003B1C40"/>
    <w:rsid w:val="00401BEE"/>
    <w:rsid w:val="004124B4"/>
    <w:rsid w:val="00461466"/>
    <w:rsid w:val="004643CB"/>
    <w:rsid w:val="004F3865"/>
    <w:rsid w:val="0054237E"/>
    <w:rsid w:val="005F5BFF"/>
    <w:rsid w:val="006133FF"/>
    <w:rsid w:val="00664176"/>
    <w:rsid w:val="006B6F74"/>
    <w:rsid w:val="006B7BD1"/>
    <w:rsid w:val="006E589C"/>
    <w:rsid w:val="006E5B6C"/>
    <w:rsid w:val="00717220"/>
    <w:rsid w:val="00792234"/>
    <w:rsid w:val="007B04C0"/>
    <w:rsid w:val="007B1995"/>
    <w:rsid w:val="007E121C"/>
    <w:rsid w:val="00822276"/>
    <w:rsid w:val="008315F1"/>
    <w:rsid w:val="008F472A"/>
    <w:rsid w:val="009218EA"/>
    <w:rsid w:val="00962C3E"/>
    <w:rsid w:val="00970470"/>
    <w:rsid w:val="0097512A"/>
    <w:rsid w:val="009E4B66"/>
    <w:rsid w:val="009F4EE7"/>
    <w:rsid w:val="00AA005C"/>
    <w:rsid w:val="00AB16D0"/>
    <w:rsid w:val="00AB6014"/>
    <w:rsid w:val="00AC1394"/>
    <w:rsid w:val="00B16942"/>
    <w:rsid w:val="00B45D97"/>
    <w:rsid w:val="00B54F65"/>
    <w:rsid w:val="00BA2324"/>
    <w:rsid w:val="00C72A78"/>
    <w:rsid w:val="00CE0208"/>
    <w:rsid w:val="00CF578F"/>
    <w:rsid w:val="00D06802"/>
    <w:rsid w:val="00D239EE"/>
    <w:rsid w:val="00D41C18"/>
    <w:rsid w:val="00D57FF3"/>
    <w:rsid w:val="00DF5028"/>
    <w:rsid w:val="00E249F2"/>
    <w:rsid w:val="00EA5BFF"/>
    <w:rsid w:val="00ED78D8"/>
    <w:rsid w:val="00F30C8B"/>
    <w:rsid w:val="00F564A7"/>
    <w:rsid w:val="00F56CCA"/>
    <w:rsid w:val="00F62155"/>
    <w:rsid w:val="00F95822"/>
    <w:rsid w:val="00FC1E1B"/>
    <w:rsid w:val="00FD1AA6"/>
    <w:rsid w:val="00FD3130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8BD6E-106D-4EF7-B7FB-D0FDC4B2EA21}"/>
</file>

<file path=customXml/itemProps2.xml><?xml version="1.0" encoding="utf-8"?>
<ds:datastoreItem xmlns:ds="http://schemas.openxmlformats.org/officeDocument/2006/customXml" ds:itemID="{CF5EB9CD-6559-4095-AE2B-CB43DEDDFF8A}"/>
</file>

<file path=customXml/itemProps3.xml><?xml version="1.0" encoding="utf-8"?>
<ds:datastoreItem xmlns:ds="http://schemas.openxmlformats.org/officeDocument/2006/customXml" ds:itemID="{842A3745-2839-4009-9CA7-724ED298E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Clough, Anne</cp:lastModifiedBy>
  <cp:revision>4</cp:revision>
  <cp:lastPrinted>2019-11-03T11:53:00Z</cp:lastPrinted>
  <dcterms:created xsi:type="dcterms:W3CDTF">2019-11-11T14:06:00Z</dcterms:created>
  <dcterms:modified xsi:type="dcterms:W3CDTF">2020-01-13T16:46:00Z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