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62A68299">
      <w:pPr>
        <w:rPr>
          <w:lang w:val="en-GB"/>
        </w:rPr>
      </w:pPr>
      <w:r>
        <w:rPr>
          <w:lang w:val="en-GB"/>
        </w:rPr>
        <w:t>Department</w:t>
      </w:r>
      <w:r w:rsidR="00AB16D0">
        <w:rPr>
          <w:lang w:val="en-GB"/>
        </w:rPr>
        <w:t xml:space="preserve">: </w:t>
      </w:r>
    </w:p>
    <w:p w:rsidR="00D57FF3" w:rsidRDefault="00D57FF3" w14:paraId="3B5CEA64" w14:textId="77777777">
      <w:pPr>
        <w:rPr>
          <w:lang w:val="en-GB"/>
        </w:rPr>
      </w:pPr>
    </w:p>
    <w:p w:rsidRPr="007B04C0" w:rsidR="00312C50" w:rsidRDefault="00312C50" w14:paraId="374AD201" w14:textId="5BA233E7">
      <w:pPr>
        <w:rPr>
          <w:sz w:val="21"/>
          <w:szCs w:val="21"/>
          <w:lang w:val="en-GB"/>
        </w:rPr>
      </w:pPr>
      <w:r w:rsidRPr="007B04C0">
        <w:rPr>
          <w:sz w:val="21"/>
          <w:szCs w:val="21"/>
          <w:lang w:val="en-GB"/>
        </w:rPr>
        <w:t>Year Group</w:t>
      </w:r>
      <w:r w:rsidRPr="007B04C0" w:rsidR="009218EA">
        <w:rPr>
          <w:sz w:val="21"/>
          <w:szCs w:val="21"/>
          <w:lang w:val="en-GB"/>
        </w:rPr>
        <w:t xml:space="preserve">: </w:t>
      </w:r>
      <w:r w:rsidRPr="005361D4" w:rsidR="005361D4">
        <w:rPr>
          <w:b/>
          <w:color w:val="00B0F0"/>
          <w:sz w:val="21"/>
          <w:szCs w:val="21"/>
          <w:lang w:val="en-GB"/>
        </w:rPr>
        <w:t>9</w:t>
      </w:r>
    </w:p>
    <w:p w:rsidR="00312C50" w:rsidRDefault="00F95822" w14:paraId="4C674615" w14:textId="0CD5F19B">
      <w:pPr>
        <w:rPr>
          <w:b/>
          <w:color w:val="00B0F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5361D4">
        <w:rPr>
          <w:b/>
          <w:color w:val="00B0F0"/>
          <w:sz w:val="21"/>
          <w:szCs w:val="21"/>
          <w:lang w:val="en-GB"/>
        </w:rPr>
        <w:t>T</w:t>
      </w:r>
      <w:r w:rsidRPr="005361D4" w:rsidR="005361D4">
        <w:rPr>
          <w:b/>
          <w:color w:val="00B0F0"/>
          <w:sz w:val="21"/>
          <w:szCs w:val="21"/>
          <w:lang w:val="en-GB"/>
        </w:rPr>
        <w:t xml:space="preserve">erm </w:t>
      </w:r>
      <w:r w:rsidR="00C8740C">
        <w:rPr>
          <w:b/>
          <w:color w:val="00B0F0"/>
          <w:sz w:val="21"/>
          <w:szCs w:val="21"/>
          <w:lang w:val="en-GB"/>
        </w:rPr>
        <w:t>3</w:t>
      </w:r>
      <w:r w:rsidR="005361D4">
        <w:rPr>
          <w:b/>
          <w:color w:val="00B0F0"/>
          <w:sz w:val="21"/>
          <w:szCs w:val="21"/>
          <w:lang w:val="en-GB"/>
        </w:rPr>
        <w:t xml:space="preserve"> </w:t>
      </w:r>
      <w:r w:rsidRPr="005361D4" w:rsidR="005361D4">
        <w:rPr>
          <w:b/>
          <w:color w:val="00B0F0"/>
          <w:sz w:val="21"/>
          <w:szCs w:val="21"/>
          <w:lang w:val="en-GB"/>
        </w:rPr>
        <w:t>(</w:t>
      </w:r>
      <w:r w:rsidR="00C8740C">
        <w:rPr>
          <w:b/>
          <w:color w:val="00B0F0"/>
          <w:sz w:val="21"/>
          <w:szCs w:val="21"/>
          <w:lang w:val="en-GB"/>
        </w:rPr>
        <w:t>May-July</w:t>
      </w:r>
      <w:r w:rsidR="005361D4">
        <w:rPr>
          <w:b/>
          <w:color w:val="00B0F0"/>
          <w:sz w:val="21"/>
          <w:szCs w:val="21"/>
          <w:lang w:val="en-GB"/>
        </w:rPr>
        <w:t xml:space="preserve">) </w:t>
      </w:r>
    </w:p>
    <w:p w:rsidRPr="005361D4" w:rsidR="00AA005C" w:rsidRDefault="005361D4" w14:paraId="30F865AD" w14:textId="2A1EE9D4">
      <w:pPr>
        <w:rPr>
          <w:b/>
          <w:color w:val="7030A0"/>
          <w:sz w:val="21"/>
          <w:szCs w:val="21"/>
          <w:lang w:val="en-GB"/>
        </w:rPr>
      </w:pPr>
      <w:r>
        <w:rPr>
          <w:b/>
          <w:color w:val="00B0F0"/>
          <w:sz w:val="21"/>
          <w:szCs w:val="21"/>
          <w:lang w:val="en-GB"/>
        </w:rPr>
        <w:t>** Students in year 9 receive 2 hours of Business studies over the 2 week cycle</w:t>
      </w:r>
      <w:r w:rsidR="00572379">
        <w:rPr>
          <w:b/>
          <w:color w:val="00B0F0"/>
          <w:sz w:val="21"/>
          <w:szCs w:val="21"/>
          <w:lang w:val="en-GB"/>
        </w:rPr>
        <w:t xml:space="preserve"> </w:t>
      </w:r>
    </w:p>
    <w:tbl>
      <w:tblPr>
        <w:tblStyle w:val="TableGrid"/>
        <w:tblW w:w="10774" w:type="dxa"/>
        <w:tblInd w:w="-147" w:type="dxa"/>
        <w:tblLook w:val="04A0" w:firstRow="1" w:lastRow="0" w:firstColumn="1" w:lastColumn="0" w:noHBand="0" w:noVBand="1"/>
      </w:tblPr>
      <w:tblGrid>
        <w:gridCol w:w="10774"/>
      </w:tblGrid>
      <w:tr w:rsidRPr="007B04C0" w:rsidR="00AA005C" w:rsidTr="6DEFEAC7" w14:paraId="69A11376" w14:textId="77777777">
        <w:tc>
          <w:tcPr>
            <w:tcW w:w="10774"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6DEFEAC7" w14:paraId="4BF128E6" w14:textId="77777777">
        <w:tc>
          <w:tcPr>
            <w:tcW w:w="10774" w:type="dxa"/>
            <w:tcMar/>
          </w:tcPr>
          <w:p w:rsidRPr="00C0559C" w:rsidR="004F3C65" w:rsidP="006D6156" w:rsidRDefault="007860DE" w14:paraId="24E7784E" w14:textId="32F7D55B">
            <w:pPr>
              <w:pStyle w:val="ListParagraph"/>
              <w:numPr>
                <w:ilvl w:val="0"/>
                <w:numId w:val="17"/>
              </w:numPr>
              <w:jc w:val="both"/>
              <w:rPr>
                <w:sz w:val="21"/>
                <w:szCs w:val="21"/>
                <w:lang w:val="en-GB"/>
              </w:rPr>
            </w:pPr>
            <w:r w:rsidRPr="00C0559C">
              <w:rPr>
                <w:sz w:val="21"/>
                <w:szCs w:val="21"/>
                <w:lang w:val="en-GB"/>
              </w:rPr>
              <w:t xml:space="preserve">Students </w:t>
            </w:r>
            <w:r w:rsidR="00C251BB">
              <w:rPr>
                <w:sz w:val="21"/>
                <w:szCs w:val="21"/>
                <w:lang w:val="en-GB"/>
              </w:rPr>
              <w:t>will continue to cove</w:t>
            </w:r>
            <w:r w:rsidRPr="00C0559C">
              <w:rPr>
                <w:sz w:val="21"/>
                <w:szCs w:val="21"/>
                <w:lang w:val="en-GB"/>
              </w:rPr>
              <w:t xml:space="preserve"> the basic principles of business and enterprise.</w:t>
            </w:r>
          </w:p>
          <w:p w:rsidRPr="00C0559C" w:rsidR="007860DE" w:rsidP="006D6156" w:rsidRDefault="00C54401" w14:paraId="10DB4A58" w14:textId="3A479896">
            <w:pPr>
              <w:pStyle w:val="ListParagraph"/>
              <w:numPr>
                <w:ilvl w:val="0"/>
                <w:numId w:val="17"/>
              </w:numPr>
              <w:jc w:val="both"/>
              <w:rPr>
                <w:sz w:val="21"/>
                <w:szCs w:val="21"/>
                <w:lang w:val="en-GB"/>
              </w:rPr>
            </w:pPr>
            <w:r w:rsidRPr="00C0559C">
              <w:rPr>
                <w:sz w:val="21"/>
                <w:szCs w:val="21"/>
                <w:lang w:val="en-GB"/>
              </w:rPr>
              <w:t>Students will</w:t>
            </w:r>
            <w:r w:rsidR="00C251BB">
              <w:rPr>
                <w:sz w:val="21"/>
                <w:szCs w:val="21"/>
                <w:lang w:val="en-GB"/>
              </w:rPr>
              <w:t xml:space="preserve"> continue to</w:t>
            </w:r>
            <w:r w:rsidRPr="00C0559C">
              <w:rPr>
                <w:sz w:val="21"/>
                <w:szCs w:val="21"/>
                <w:lang w:val="en-GB"/>
              </w:rPr>
              <w:t xml:space="preserve"> take part in a variety of activities that promote entrepreneurial skills and attributes. </w:t>
            </w:r>
          </w:p>
          <w:p w:rsidRPr="004F3C65" w:rsidR="00C54401" w:rsidP="6DEFEAC7" w:rsidRDefault="00C54401" w14:paraId="19C23ED5" w14:textId="51E57E48">
            <w:pPr>
              <w:pStyle w:val="ListParagraph"/>
              <w:numPr>
                <w:ilvl w:val="0"/>
                <w:numId w:val="17"/>
              </w:numPr>
              <w:jc w:val="both"/>
              <w:rPr>
                <w:b w:val="1"/>
                <w:bCs w:val="1"/>
                <w:sz w:val="21"/>
                <w:szCs w:val="21"/>
                <w:lang w:val="en-GB"/>
              </w:rPr>
            </w:pPr>
            <w:r w:rsidRPr="6DEFEAC7" w:rsidR="00C54401">
              <w:rPr>
                <w:sz w:val="21"/>
                <w:szCs w:val="21"/>
                <w:lang w:val="en-GB"/>
              </w:rPr>
              <w:t>Students will</w:t>
            </w:r>
            <w:r w:rsidRPr="6DEFEAC7" w:rsidR="00C251BB">
              <w:rPr>
                <w:sz w:val="21"/>
                <w:szCs w:val="21"/>
                <w:lang w:val="en-GB"/>
              </w:rPr>
              <w:t xml:space="preserve"> continue </w:t>
            </w:r>
            <w:r w:rsidRPr="6DEFEAC7" w:rsidR="00C54401">
              <w:rPr>
                <w:sz w:val="21"/>
                <w:szCs w:val="21"/>
                <w:lang w:val="en-GB"/>
              </w:rPr>
              <w:t>take part in activities that encourage self-reflection and promote personal development.</w:t>
            </w:r>
            <w:r w:rsidRPr="6DEFEAC7" w:rsidR="00C251BB">
              <w:rPr>
                <w:sz w:val="21"/>
                <w:szCs w:val="21"/>
                <w:lang w:val="en-GB"/>
              </w:rPr>
              <w:t xml:space="preserve"> This term </w:t>
            </w:r>
            <w:r w:rsidRPr="6DEFEAC7" w:rsidR="000D0D76">
              <w:rPr>
                <w:sz w:val="21"/>
                <w:szCs w:val="21"/>
                <w:lang w:val="en-GB"/>
              </w:rPr>
              <w:t xml:space="preserve">students will have time to complete the market segmentation tasks </w:t>
            </w:r>
            <w:r w:rsidRPr="6DEFEAC7" w:rsidR="00C8740C">
              <w:rPr>
                <w:sz w:val="21"/>
                <w:szCs w:val="21"/>
                <w:lang w:val="en-GB"/>
              </w:rPr>
              <w:t>from last term and start the LO2</w:t>
            </w:r>
            <w:r w:rsidRPr="6DEFEAC7" w:rsidR="000D0D76">
              <w:rPr>
                <w:sz w:val="21"/>
                <w:szCs w:val="21"/>
                <w:lang w:val="en-GB"/>
              </w:rPr>
              <w:t xml:space="preserve"> section of R064.</w:t>
            </w:r>
          </w:p>
        </w:tc>
      </w:tr>
      <w:tr w:rsidRPr="007B04C0" w:rsidR="007B1995" w:rsidTr="6DEFEAC7" w14:paraId="07B414B0" w14:textId="77777777">
        <w:tc>
          <w:tcPr>
            <w:tcW w:w="10774"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6DEFEAC7" w14:paraId="5B1F8AB2" w14:textId="77777777">
        <w:tc>
          <w:tcPr>
            <w:tcW w:w="10774" w:type="dxa"/>
            <w:tcMar/>
          </w:tcPr>
          <w:p w:rsidRPr="00C0559C" w:rsidR="004F3C65" w:rsidP="006D6156" w:rsidRDefault="007860DE" w14:paraId="50A5C082" w14:textId="128BA73D">
            <w:pPr>
              <w:pStyle w:val="ListParagraph"/>
              <w:numPr>
                <w:ilvl w:val="0"/>
                <w:numId w:val="18"/>
              </w:numPr>
              <w:rPr>
                <w:sz w:val="21"/>
                <w:szCs w:val="21"/>
                <w:lang w:val="en-GB"/>
              </w:rPr>
            </w:pPr>
            <w:r w:rsidRPr="00C0559C">
              <w:rPr>
                <w:sz w:val="21"/>
                <w:szCs w:val="21"/>
                <w:lang w:val="en-GB"/>
              </w:rPr>
              <w:t xml:space="preserve">No real prior knowledge necessary within the first few lessons of term one as this is the very first business/enterprise lesson students will have had. </w:t>
            </w:r>
          </w:p>
          <w:p w:rsidRPr="00C0559C" w:rsidR="004C6C5E" w:rsidP="006D6156" w:rsidRDefault="004C6C5E" w14:paraId="129B8B08" w14:textId="243E4B1F">
            <w:pPr>
              <w:pStyle w:val="ListParagraph"/>
              <w:numPr>
                <w:ilvl w:val="0"/>
                <w:numId w:val="18"/>
              </w:numPr>
              <w:rPr>
                <w:sz w:val="21"/>
                <w:szCs w:val="21"/>
                <w:lang w:val="en-GB"/>
              </w:rPr>
            </w:pPr>
            <w:r w:rsidRPr="00C0559C">
              <w:rPr>
                <w:sz w:val="21"/>
                <w:szCs w:val="21"/>
                <w:lang w:val="en-GB"/>
              </w:rPr>
              <w:t xml:space="preserve">Students should have a basic understanding of key terminology such as: Enterprise, </w:t>
            </w:r>
            <w:r w:rsidRPr="00C0559C" w:rsidR="00C0559C">
              <w:rPr>
                <w:sz w:val="21"/>
                <w:szCs w:val="21"/>
                <w:lang w:val="en-GB"/>
              </w:rPr>
              <w:t xml:space="preserve">Entrepreneur, Profit, </w:t>
            </w:r>
            <w:r w:rsidR="00671A5E">
              <w:rPr>
                <w:sz w:val="21"/>
                <w:szCs w:val="21"/>
                <w:lang w:val="en-GB"/>
              </w:rPr>
              <w:t xml:space="preserve">segmentation, consumer </w:t>
            </w:r>
            <w:r w:rsidRPr="00C0559C" w:rsidR="00C0559C">
              <w:rPr>
                <w:sz w:val="21"/>
                <w:szCs w:val="21"/>
                <w:lang w:val="en-GB"/>
              </w:rPr>
              <w:t>brand and what it means to reflect, analyse and evaluate.</w:t>
            </w:r>
          </w:p>
          <w:p w:rsidRPr="006E7081" w:rsidR="004C6C5E" w:rsidP="00C0559C" w:rsidRDefault="004C6C5E" w14:paraId="29AC60E0" w14:textId="77777777">
            <w:pPr>
              <w:pStyle w:val="ListParagraph"/>
              <w:numPr>
                <w:ilvl w:val="0"/>
                <w:numId w:val="18"/>
              </w:numPr>
              <w:rPr>
                <w:b/>
                <w:sz w:val="21"/>
                <w:szCs w:val="21"/>
                <w:lang w:val="en-GB"/>
              </w:rPr>
            </w:pPr>
            <w:r w:rsidRPr="00C0559C">
              <w:rPr>
                <w:sz w:val="21"/>
                <w:szCs w:val="21"/>
                <w:lang w:val="en-GB"/>
              </w:rPr>
              <w:t>Students will have an awareness of the “big brands” in preparation for the branding section.</w:t>
            </w:r>
          </w:p>
          <w:p w:rsidRPr="00C0559C" w:rsidR="006E7081" w:rsidP="00C0559C" w:rsidRDefault="006E7081" w14:paraId="30878C56" w14:textId="0DF4DC39">
            <w:pPr>
              <w:pStyle w:val="ListParagraph"/>
              <w:numPr>
                <w:ilvl w:val="0"/>
                <w:numId w:val="18"/>
              </w:numPr>
              <w:rPr>
                <w:b/>
                <w:sz w:val="21"/>
                <w:szCs w:val="21"/>
                <w:lang w:val="en-GB"/>
              </w:rPr>
            </w:pPr>
            <w:r>
              <w:rPr>
                <w:sz w:val="21"/>
                <w:szCs w:val="21"/>
                <w:lang w:val="en-GB"/>
              </w:rPr>
              <w:t>Students should understand what the term “market” is referring too, meaning of the word consumer, research, primary and secondary.</w:t>
            </w:r>
          </w:p>
        </w:tc>
      </w:tr>
      <w:tr w:rsidRPr="007B04C0" w:rsidR="00AA005C" w:rsidTr="6DEFEAC7" w14:paraId="079F81EC" w14:textId="77777777">
        <w:tc>
          <w:tcPr>
            <w:tcW w:w="10774"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6DEFEAC7" w14:paraId="5B871996" w14:textId="77777777">
        <w:tc>
          <w:tcPr>
            <w:tcW w:w="10774" w:type="dxa"/>
            <w:tcMar/>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Pr="006E7081" w:rsidR="00D57FF3" w:rsidP="004F3C65" w:rsidRDefault="00671A5E" w14:paraId="27C56A2D" w14:textId="7DDC049A">
            <w:pPr>
              <w:pStyle w:val="ListParagraph"/>
              <w:numPr>
                <w:ilvl w:val="0"/>
                <w:numId w:val="20"/>
              </w:numPr>
              <w:jc w:val="both"/>
              <w:rPr>
                <w:sz w:val="21"/>
                <w:szCs w:val="21"/>
                <w:lang w:val="en-GB"/>
              </w:rPr>
            </w:pPr>
            <w:r w:rsidRPr="6DEFEAC7" w:rsidR="00671A5E">
              <w:rPr>
                <w:sz w:val="21"/>
                <w:szCs w:val="21"/>
                <w:lang w:val="en-GB"/>
              </w:rPr>
              <w:t>We continue to build on</w:t>
            </w:r>
            <w:r w:rsidRPr="6DEFEAC7" w:rsidR="006E7081">
              <w:rPr>
                <w:sz w:val="21"/>
                <w:szCs w:val="21"/>
                <w:lang w:val="en-GB"/>
              </w:rPr>
              <w:t xml:space="preserve"> fundamental terminology such as Branding, markets, market segmentation, consumer</w:t>
            </w:r>
            <w:r w:rsidRPr="6DEFEAC7" w:rsidR="00671A5E">
              <w:rPr>
                <w:sz w:val="21"/>
                <w:szCs w:val="21"/>
                <w:lang w:val="en-GB"/>
              </w:rPr>
              <w:t>, market research, revenue, profit, break even,</w:t>
            </w:r>
            <w:r w:rsidRPr="6DEFEAC7" w:rsidR="006E7081">
              <w:rPr>
                <w:sz w:val="21"/>
                <w:szCs w:val="21"/>
                <w:lang w:val="en-GB"/>
              </w:rPr>
              <w:t xml:space="preserve"> </w:t>
            </w:r>
            <w:r w:rsidRPr="6DEFEAC7" w:rsidR="006E7081">
              <w:rPr>
                <w:sz w:val="21"/>
                <w:szCs w:val="21"/>
                <w:lang w:val="en-GB"/>
              </w:rPr>
              <w:t>etc</w:t>
            </w:r>
            <w:r w:rsidRPr="6DEFEAC7" w:rsidR="006E7081">
              <w:rPr>
                <w:sz w:val="21"/>
                <w:szCs w:val="21"/>
                <w:lang w:val="en-GB"/>
              </w:rPr>
              <w:t xml:space="preserve"> in order to prepare students for elements of the vocational GCSE course. This is to keep up with delivery schedules of other schools</w:t>
            </w:r>
            <w:r w:rsidRPr="6DEFEAC7" w:rsidR="006E7081">
              <w:rPr>
                <w:sz w:val="21"/>
                <w:szCs w:val="21"/>
                <w:lang w:val="en-GB"/>
              </w:rPr>
              <w:t>, maximise future achievement</w:t>
            </w:r>
            <w:r w:rsidRPr="6DEFEAC7" w:rsidR="006E7081">
              <w:rPr>
                <w:sz w:val="21"/>
                <w:szCs w:val="21"/>
                <w:lang w:val="en-GB"/>
              </w:rPr>
              <w:t xml:space="preserve"> but also give </w:t>
            </w:r>
            <w:r w:rsidRPr="6DEFEAC7" w:rsidR="006E7081">
              <w:rPr>
                <w:sz w:val="21"/>
                <w:szCs w:val="21"/>
                <w:lang w:val="en-GB"/>
              </w:rPr>
              <w:t>a taster of the course prior to</w:t>
            </w:r>
            <w:r w:rsidRPr="6DEFEAC7" w:rsidR="00671A5E">
              <w:rPr>
                <w:sz w:val="21"/>
                <w:szCs w:val="21"/>
                <w:lang w:val="en-GB"/>
              </w:rPr>
              <w:t xml:space="preserve"> options being chosen. The second</w:t>
            </w:r>
            <w:r w:rsidRPr="6DEFEAC7" w:rsidR="006E7081">
              <w:rPr>
                <w:sz w:val="21"/>
                <w:szCs w:val="21"/>
                <w:lang w:val="en-GB"/>
              </w:rPr>
              <w:t xml:space="preserve"> section of the exam unit will be covered.</w:t>
            </w:r>
          </w:p>
        </w:tc>
      </w:tr>
      <w:tr w:rsidRPr="007B04C0" w:rsidR="00AA005C" w:rsidTr="6DEFEAC7" w14:paraId="6BD43A62" w14:textId="77777777">
        <w:tc>
          <w:tcPr>
            <w:tcW w:w="10774"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6DEFEAC7" w14:paraId="70E88F15" w14:textId="77777777">
        <w:tc>
          <w:tcPr>
            <w:tcW w:w="10774" w:type="dxa"/>
            <w:tcMar/>
          </w:tcPr>
          <w:p w:rsidR="00671A5E" w:rsidP="6DEFEAC7" w:rsidRDefault="00671A5E" w14:paraId="309C1C6F" w14:textId="77777777" w14:noSpellErr="1">
            <w:pPr>
              <w:pStyle w:val="paragraph"/>
              <w:numPr>
                <w:ilvl w:val="0"/>
                <w:numId w:val="21"/>
              </w:numPr>
              <w:spacing w:before="0" w:beforeAutospacing="off" w:after="0" w:afterAutospacing="off"/>
              <w:jc w:val="both"/>
              <w:textAlignment w:val="baseline"/>
              <w:rPr>
                <w:rStyle w:val="eop"/>
                <w:rFonts w:ascii="Calibri" w:hAnsi="Calibri" w:cs="Calibri"/>
                <w:color w:val="000000"/>
                <w:sz w:val="22"/>
                <w:szCs w:val="22"/>
              </w:rPr>
            </w:pPr>
            <w:r w:rsidRPr="6DEFEAC7" w:rsidR="00671A5E">
              <w:rPr>
                <w:rStyle w:val="normaltextrun"/>
                <w:rFonts w:ascii="Calibri" w:hAnsi="Calibri" w:cs="Calibri"/>
                <w:color w:val="000000" w:themeColor="text1" w:themeTint="FF" w:themeShade="FF"/>
                <w:sz w:val="22"/>
                <w:szCs w:val="22"/>
              </w:rPr>
              <w:t>How businesses monitor their performance or decide a product is viable (Calculating costs, revenues, profits and break-even).</w:t>
            </w:r>
            <w:r w:rsidRPr="6DEFEAC7" w:rsidR="00671A5E">
              <w:rPr>
                <w:rStyle w:val="eop"/>
                <w:rFonts w:ascii="Calibri" w:hAnsi="Calibri" w:cs="Calibri"/>
                <w:color w:val="000000" w:themeColor="text1" w:themeTint="FF" w:themeShade="FF"/>
                <w:sz w:val="22"/>
                <w:szCs w:val="22"/>
              </w:rPr>
              <w:t> </w:t>
            </w:r>
          </w:p>
          <w:p w:rsidR="6DEFEAC7" w:rsidP="6DEFEAC7" w:rsidRDefault="6DEFEAC7" w14:paraId="11B03BB1" w14:textId="750E7B82">
            <w:pPr>
              <w:pStyle w:val="paragraph"/>
              <w:numPr>
                <w:ilvl w:val="0"/>
                <w:numId w:val="21"/>
              </w:numPr>
              <w:spacing w:before="0" w:beforeAutospacing="off" w:after="0" w:afterAutospacing="off"/>
              <w:jc w:val="both"/>
              <w:rPr>
                <w:color w:val="000000" w:themeColor="text1" w:themeTint="FF" w:themeShade="FF"/>
                <w:sz w:val="22"/>
                <w:szCs w:val="22"/>
              </w:rPr>
            </w:pPr>
            <w:r w:rsidRPr="6DEFEAC7" w:rsidR="6DEFEAC7">
              <w:rPr>
                <w:rStyle w:val="eop"/>
                <w:rFonts w:ascii="Calibri" w:hAnsi="Calibri" w:eastAsia="Times New Roman" w:cs="Calibri"/>
                <w:color w:val="000000" w:themeColor="text1" w:themeTint="FF" w:themeShade="FF"/>
                <w:sz w:val="22"/>
                <w:szCs w:val="22"/>
              </w:rPr>
              <w:t>How businesses segment the market and how they target consumers.</w:t>
            </w:r>
          </w:p>
          <w:p w:rsidRPr="00671A5E" w:rsidR="004F3C65" w:rsidP="00671A5E" w:rsidRDefault="00671A5E" w14:paraId="6784E8EC" w14:textId="3F2F777C">
            <w:pPr>
              <w:pStyle w:val="paragraph"/>
              <w:numPr>
                <w:ilvl w:val="0"/>
                <w:numId w:val="21"/>
              </w:numPr>
              <w:spacing w:before="0" w:beforeAutospacing="0" w:after="0" w:afterAutospacing="0"/>
              <w:jc w:val="both"/>
              <w:textAlignment w:val="baseline"/>
              <w:rPr>
                <w:rFonts w:ascii="Calibri" w:hAnsi="Calibri" w:cs="Calibri"/>
                <w:color w:val="000000"/>
                <w:sz w:val="22"/>
                <w:szCs w:val="22"/>
              </w:rPr>
            </w:pPr>
            <w:r>
              <w:rPr>
                <w:rStyle w:val="normaltextrun"/>
                <w:rFonts w:ascii="Calibri" w:hAnsi="Calibri" w:cs="Calibri"/>
                <w:color w:val="000000"/>
                <w:sz w:val="22"/>
                <w:szCs w:val="22"/>
              </w:rPr>
              <w:t>All key terminology will be introduced at the beginning of each topic. Topics will be re-enforced by examples and relevant experiences etc. Variety of differentiated materials offered to support and bridge any gaps.</w:t>
            </w:r>
            <w:r>
              <w:rPr>
                <w:rStyle w:val="eop"/>
                <w:rFonts w:ascii="Calibri" w:hAnsi="Calibri" w:cs="Calibri"/>
                <w:color w:val="000000"/>
                <w:sz w:val="22"/>
                <w:szCs w:val="22"/>
              </w:rPr>
              <w:t> </w:t>
            </w:r>
          </w:p>
        </w:tc>
      </w:tr>
      <w:tr w:rsidRPr="007B04C0" w:rsidR="00AA005C" w:rsidTr="6DEFEAC7" w14:paraId="5B2CDDBC" w14:textId="77777777">
        <w:tc>
          <w:tcPr>
            <w:tcW w:w="10774"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6DEFEAC7" w14:paraId="09BEEACA" w14:textId="77777777">
        <w:trPr>
          <w:trHeight w:val="640"/>
        </w:trPr>
        <w:tc>
          <w:tcPr>
            <w:tcW w:w="10774" w:type="dxa"/>
            <w:tcMar/>
          </w:tcPr>
          <w:p w:rsidRPr="007F029E" w:rsidR="00F95822" w:rsidP="003A00E5" w:rsidRDefault="007F029E" w14:paraId="7134982D" w14:textId="4CE71ECD">
            <w:pPr>
              <w:rPr>
                <w:sz w:val="21"/>
                <w:szCs w:val="21"/>
                <w:lang w:val="en-GB"/>
              </w:rPr>
            </w:pPr>
            <w:r w:rsidRPr="007F029E">
              <w:rPr>
                <w:sz w:val="21"/>
                <w:szCs w:val="21"/>
                <w:lang w:val="en-GB"/>
              </w:rPr>
              <w:t xml:space="preserve">Entrepreneur, enterprise, </w:t>
            </w:r>
            <w:r w:rsidR="003A00E5">
              <w:rPr>
                <w:sz w:val="21"/>
                <w:szCs w:val="21"/>
                <w:lang w:val="en-GB"/>
              </w:rPr>
              <w:t>market segmentation, consumer seg</w:t>
            </w:r>
            <w:r w:rsidR="00671A5E">
              <w:rPr>
                <w:sz w:val="21"/>
                <w:szCs w:val="21"/>
                <w:lang w:val="en-GB"/>
              </w:rPr>
              <w:t>mentation, geographic, consumer, r</w:t>
            </w:r>
            <w:bookmarkStart w:name="_GoBack" w:id="0"/>
            <w:bookmarkEnd w:id="0"/>
            <w:proofErr w:type="spellStart"/>
            <w:r w:rsidR="00671A5E">
              <w:rPr>
                <w:rStyle w:val="normaltextrun"/>
                <w:rFonts w:ascii="Calibri" w:hAnsi="Calibri" w:cs="Calibri"/>
                <w:color w:val="000000"/>
                <w:sz w:val="21"/>
                <w:szCs w:val="21"/>
                <w:bdr w:val="none" w:color="auto" w:sz="0" w:space="0" w:frame="1"/>
              </w:rPr>
              <w:t>evenue</w:t>
            </w:r>
            <w:proofErr w:type="spellEnd"/>
            <w:r w:rsidR="00671A5E">
              <w:rPr>
                <w:rStyle w:val="normaltextrun"/>
                <w:rFonts w:ascii="Calibri" w:hAnsi="Calibri" w:cs="Calibri"/>
                <w:color w:val="000000"/>
                <w:sz w:val="21"/>
                <w:szCs w:val="21"/>
                <w:bdr w:val="none" w:color="auto" w:sz="0" w:space="0" w:frame="1"/>
              </w:rPr>
              <w:t>, profit, costs, Break even, break-even point.</w:t>
            </w:r>
          </w:p>
        </w:tc>
      </w:tr>
      <w:tr w:rsidRPr="007B04C0" w:rsidR="00717220" w:rsidTr="6DEFEAC7" w14:paraId="0BD4097E" w14:textId="77777777">
        <w:tc>
          <w:tcPr>
            <w:tcW w:w="10774"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6DEFEAC7" w14:paraId="56B7F9FC" w14:textId="77777777">
        <w:tc>
          <w:tcPr>
            <w:tcW w:w="10774" w:type="dxa"/>
            <w:tcMar/>
          </w:tcPr>
          <w:p w:rsidRPr="007F029E" w:rsidR="00717220" w:rsidP="004F3C65" w:rsidRDefault="007F029E" w14:paraId="4616ADCE" w14:textId="018CA80E">
            <w:pPr>
              <w:jc w:val="both"/>
              <w:rPr>
                <w:sz w:val="21"/>
                <w:szCs w:val="21"/>
                <w:lang w:val="en-GB"/>
              </w:rPr>
            </w:pPr>
            <w:r w:rsidRPr="007F029E">
              <w:rPr>
                <w:sz w:val="21"/>
                <w:szCs w:val="21"/>
                <w:lang w:val="en-GB"/>
              </w:rPr>
              <w:t>Students will work through a booklet and formative feedback will be provided at the back of this booklet (in line with the whole school marking policy). There is scope for some summative assessment throughout e.g. Mini Quiz on enterprise. At the end of the term students will complete an assessment on Microsoft forms.</w:t>
            </w:r>
          </w:p>
          <w:p w:rsidRPr="004F3C65" w:rsidR="007F029E" w:rsidP="004F3C65" w:rsidRDefault="007F029E" w14:paraId="04233BC0" w14:textId="3E425218">
            <w:pPr>
              <w:jc w:val="both"/>
              <w:rPr>
                <w:b/>
                <w:sz w:val="21"/>
                <w:szCs w:val="21"/>
                <w:lang w:val="en-GB"/>
              </w:rPr>
            </w:pPr>
          </w:p>
        </w:tc>
      </w:tr>
    </w:tbl>
    <w:p w:rsidRPr="00312C50" w:rsidR="00312C50" w:rsidP="007F029E" w:rsidRDefault="00312C50" w14:paraId="6542BD36" w14:textId="56608F34">
      <w:pPr>
        <w:rPr>
          <w:lang w:val="en-GB"/>
        </w:rPr>
      </w:pPr>
    </w:p>
    <w:sectPr w:rsidRPr="00312C50" w:rsidR="00312C50" w:rsidSect="007F029E">
      <w:pgSz w:w="11900" w:h="16840" w:orient="portrait"/>
      <w:pgMar w:top="720" w:right="56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1" w15:restartNumberingAfterBreak="0">
    <w:nsid w:val="3F4508F5"/>
    <w:multiLevelType w:val="multilevel"/>
    <w:tmpl w:val="9634B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5A45A71"/>
    <w:multiLevelType w:val="hybridMultilevel"/>
    <w:tmpl w:val="F676D5E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C8779ED"/>
    <w:multiLevelType w:val="hybridMultilevel"/>
    <w:tmpl w:val="85D24AC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5E140298"/>
    <w:multiLevelType w:val="hybridMultilevel"/>
    <w:tmpl w:val="3A6838A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0" w15:restartNumberingAfterBreak="0">
    <w:nsid w:val="701D6152"/>
    <w:multiLevelType w:val="hybridMultilevel"/>
    <w:tmpl w:val="A64662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C0820DC"/>
    <w:multiLevelType w:val="multilevel"/>
    <w:tmpl w:val="84ECD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5"/>
  </w:num>
  <w:num w:numId="3">
    <w:abstractNumId w:val="16"/>
  </w:num>
  <w:num w:numId="4">
    <w:abstractNumId w:val="19"/>
  </w:num>
  <w:num w:numId="5">
    <w:abstractNumId w:val="3"/>
  </w:num>
  <w:num w:numId="6">
    <w:abstractNumId w:val="18"/>
  </w:num>
  <w:num w:numId="7">
    <w:abstractNumId w:val="10"/>
  </w:num>
  <w:num w:numId="8">
    <w:abstractNumId w:val="14"/>
  </w:num>
  <w:num w:numId="9">
    <w:abstractNumId w:val="21"/>
  </w:num>
  <w:num w:numId="10">
    <w:abstractNumId w:val="0"/>
  </w:num>
  <w:num w:numId="11">
    <w:abstractNumId w:val="13"/>
  </w:num>
  <w:num w:numId="12">
    <w:abstractNumId w:val="6"/>
  </w:num>
  <w:num w:numId="13">
    <w:abstractNumId w:val="9"/>
  </w:num>
  <w:num w:numId="14">
    <w:abstractNumId w:val="7"/>
  </w:num>
  <w:num w:numId="15">
    <w:abstractNumId w:val="8"/>
  </w:num>
  <w:num w:numId="16">
    <w:abstractNumId w:val="4"/>
  </w:num>
  <w:num w:numId="17">
    <w:abstractNumId w:val="2"/>
  </w:num>
  <w:num w:numId="18">
    <w:abstractNumId w:val="15"/>
  </w:num>
  <w:num w:numId="19">
    <w:abstractNumId w:val="20"/>
  </w:num>
  <w:num w:numId="20">
    <w:abstractNumId w:val="12"/>
  </w:num>
  <w:num w:numId="21">
    <w:abstractNumId w:val="17"/>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0D76"/>
    <w:rsid w:val="001000DD"/>
    <w:rsid w:val="00122AA1"/>
    <w:rsid w:val="0016245A"/>
    <w:rsid w:val="00166FEB"/>
    <w:rsid w:val="001A2BA4"/>
    <w:rsid w:val="001C5F99"/>
    <w:rsid w:val="00226561"/>
    <w:rsid w:val="00255136"/>
    <w:rsid w:val="00280536"/>
    <w:rsid w:val="002E3DD3"/>
    <w:rsid w:val="00312C50"/>
    <w:rsid w:val="0031774A"/>
    <w:rsid w:val="003330B1"/>
    <w:rsid w:val="00341A93"/>
    <w:rsid w:val="003465A2"/>
    <w:rsid w:val="0036256D"/>
    <w:rsid w:val="00373102"/>
    <w:rsid w:val="003A00E5"/>
    <w:rsid w:val="003B1C40"/>
    <w:rsid w:val="003F25B4"/>
    <w:rsid w:val="00401BEE"/>
    <w:rsid w:val="004124B4"/>
    <w:rsid w:val="004643CB"/>
    <w:rsid w:val="004C6C5E"/>
    <w:rsid w:val="004F3865"/>
    <w:rsid w:val="004F3C65"/>
    <w:rsid w:val="005361D4"/>
    <w:rsid w:val="0054237E"/>
    <w:rsid w:val="00572379"/>
    <w:rsid w:val="005F5BFF"/>
    <w:rsid w:val="006133FF"/>
    <w:rsid w:val="00664176"/>
    <w:rsid w:val="00671A5E"/>
    <w:rsid w:val="006B6F74"/>
    <w:rsid w:val="006B7BD1"/>
    <w:rsid w:val="006D6156"/>
    <w:rsid w:val="006E589C"/>
    <w:rsid w:val="006E5B6C"/>
    <w:rsid w:val="006E7081"/>
    <w:rsid w:val="00717220"/>
    <w:rsid w:val="0072605F"/>
    <w:rsid w:val="007677E9"/>
    <w:rsid w:val="007860DE"/>
    <w:rsid w:val="00792234"/>
    <w:rsid w:val="007B04C0"/>
    <w:rsid w:val="007B1995"/>
    <w:rsid w:val="007F029E"/>
    <w:rsid w:val="00822276"/>
    <w:rsid w:val="008315F1"/>
    <w:rsid w:val="00836FFF"/>
    <w:rsid w:val="008E6C59"/>
    <w:rsid w:val="008F472A"/>
    <w:rsid w:val="009218EA"/>
    <w:rsid w:val="00970470"/>
    <w:rsid w:val="009F4EE7"/>
    <w:rsid w:val="00AA005C"/>
    <w:rsid w:val="00AB16D0"/>
    <w:rsid w:val="00AC1394"/>
    <w:rsid w:val="00B16942"/>
    <w:rsid w:val="00B45D97"/>
    <w:rsid w:val="00BA2324"/>
    <w:rsid w:val="00C0559C"/>
    <w:rsid w:val="00C21D1A"/>
    <w:rsid w:val="00C251BB"/>
    <w:rsid w:val="00C54401"/>
    <w:rsid w:val="00C72A78"/>
    <w:rsid w:val="00C8740C"/>
    <w:rsid w:val="00CF578F"/>
    <w:rsid w:val="00D06802"/>
    <w:rsid w:val="00D239EE"/>
    <w:rsid w:val="00D41C18"/>
    <w:rsid w:val="00D57FF3"/>
    <w:rsid w:val="00DF5028"/>
    <w:rsid w:val="00EF66B5"/>
    <w:rsid w:val="00F1604C"/>
    <w:rsid w:val="00F30C8B"/>
    <w:rsid w:val="00F564A7"/>
    <w:rsid w:val="00F56CCA"/>
    <w:rsid w:val="00F62155"/>
    <w:rsid w:val="00F95822"/>
    <w:rsid w:val="00FC1E1B"/>
    <w:rsid w:val="00FD1AA6"/>
    <w:rsid w:val="04BF0C62"/>
    <w:rsid w:val="512B9B76"/>
    <w:rsid w:val="6DEFEAC7"/>
    <w:rsid w:val="7B31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paragraph" w:customStyle="1">
    <w:name w:val="paragraph"/>
    <w:basedOn w:val="Normal"/>
    <w:rsid w:val="003A00E5"/>
    <w:pPr>
      <w:spacing w:before="100" w:beforeAutospacing="1" w:after="100" w:afterAutospacing="1"/>
    </w:pPr>
    <w:rPr>
      <w:rFonts w:ascii="Times New Roman" w:hAnsi="Times New Roman" w:eastAsia="Times New Roman" w:cs="Times New Roman"/>
      <w:lang w:val="en-GB" w:eastAsia="en-GB"/>
    </w:rPr>
  </w:style>
  <w:style w:type="character" w:styleId="normaltextrun" w:customStyle="1">
    <w:name w:val="normaltextrun"/>
    <w:basedOn w:val="DefaultParagraphFont"/>
    <w:rsid w:val="003A00E5"/>
  </w:style>
  <w:style w:type="character" w:styleId="eop" w:customStyle="1">
    <w:name w:val="eop"/>
    <w:basedOn w:val="DefaultParagraphFont"/>
    <w:rsid w:val="003A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046425">
      <w:bodyDiv w:val="1"/>
      <w:marLeft w:val="0"/>
      <w:marRight w:val="0"/>
      <w:marTop w:val="0"/>
      <w:marBottom w:val="0"/>
      <w:divBdr>
        <w:top w:val="none" w:sz="0" w:space="0" w:color="auto"/>
        <w:left w:val="none" w:sz="0" w:space="0" w:color="auto"/>
        <w:bottom w:val="none" w:sz="0" w:space="0" w:color="auto"/>
        <w:right w:val="none" w:sz="0" w:space="0" w:color="auto"/>
      </w:divBdr>
    </w:div>
    <w:div w:id="986786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21B795-865A-4E1E-9224-8D4E6446DF4B}"/>
</file>

<file path=customXml/itemProps2.xml><?xml version="1.0" encoding="utf-8"?>
<ds:datastoreItem xmlns:ds="http://schemas.openxmlformats.org/officeDocument/2006/customXml" ds:itemID="{854541BC-E6BC-4ECC-A567-670ADE1BD9E6}">
  <ds:schemaRefs>
    <ds:schemaRef ds:uri="http://schemas.microsoft.com/sharepoint/v3/contenttype/forms"/>
  </ds:schemaRefs>
</ds:datastoreItem>
</file>

<file path=customXml/itemProps3.xml><?xml version="1.0" encoding="utf-8"?>
<ds:datastoreItem xmlns:ds="http://schemas.openxmlformats.org/officeDocument/2006/customXml" ds:itemID="{E4395BFC-F289-4935-81F3-3F425E26168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Holmes, Lee</cp:lastModifiedBy>
  <cp:revision>4</cp:revision>
  <cp:lastPrinted>2019-11-03T11:53:00Z</cp:lastPrinted>
  <dcterms:created xsi:type="dcterms:W3CDTF">2022-01-07T11:36:00Z</dcterms:created>
  <dcterms:modified xsi:type="dcterms:W3CDTF">2022-06-27T10:29:21Z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