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9218EA" w:rsidR="00341A93" w:rsidRDefault="009218EA" w14:paraId="0B40F43E" w14:textId="50172823">
      <w:pPr>
        <w:rPr>
          <w:b/>
          <w:lang w:val="en-GB"/>
        </w:rPr>
      </w:pPr>
      <w:r w:rsidRPr="009218EA">
        <w:rPr>
          <w:b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6BB9A8" wp14:editId="57F286A9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18EA" w:rsidR="00341A93">
        <w:rPr>
          <w:b/>
          <w:lang w:val="en-GB"/>
        </w:rPr>
        <w:t>St Mary’s Catholic School</w:t>
      </w:r>
    </w:p>
    <w:p w:rsidR="00341A93" w:rsidRDefault="007B1995" w14:paraId="55E6A78B" w14:textId="36BDF499">
      <w:pPr>
        <w:rPr>
          <w:lang w:val="en-GB"/>
        </w:rPr>
      </w:pPr>
      <w:r>
        <w:rPr>
          <w:lang w:val="en-GB"/>
        </w:rPr>
        <w:t>Department</w:t>
      </w:r>
      <w:r w:rsidR="00341A93">
        <w:rPr>
          <w:lang w:val="en-GB"/>
        </w:rPr>
        <w:t xml:space="preserve"> Curriculum Planning</w:t>
      </w:r>
    </w:p>
    <w:p w:rsidR="00341A93" w:rsidRDefault="009218EA" w14:paraId="0CB6621B" w14:textId="62A68299">
      <w:pPr>
        <w:rPr>
          <w:lang w:val="en-GB"/>
        </w:rPr>
      </w:pPr>
      <w:r>
        <w:rPr>
          <w:lang w:val="en-GB"/>
        </w:rPr>
        <w:t>Department</w:t>
      </w:r>
      <w:r w:rsidR="00AB16D0">
        <w:rPr>
          <w:lang w:val="en-GB"/>
        </w:rPr>
        <w:t xml:space="preserve">: </w:t>
      </w:r>
    </w:p>
    <w:p w:rsidR="00D57FF3" w:rsidRDefault="00D57FF3" w14:paraId="3B5CEA64" w14:textId="77777777">
      <w:pPr>
        <w:rPr>
          <w:lang w:val="en-GB"/>
        </w:rPr>
      </w:pPr>
    </w:p>
    <w:p w:rsidRPr="007B04C0" w:rsidR="00312C50" w:rsidRDefault="00312C50" w14:paraId="374AD201" w14:textId="1476E433">
      <w:pPr>
        <w:rPr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Year Group</w:t>
      </w:r>
      <w:r w:rsidRPr="007B04C0" w:rsidR="009218EA">
        <w:rPr>
          <w:sz w:val="21"/>
          <w:szCs w:val="21"/>
          <w:lang w:val="en-GB"/>
        </w:rPr>
        <w:t xml:space="preserve">: </w:t>
      </w:r>
      <w:r w:rsidR="008B11E6">
        <w:rPr>
          <w:b/>
          <w:color w:val="00B0F0"/>
          <w:sz w:val="21"/>
          <w:szCs w:val="21"/>
          <w:lang w:val="en-GB"/>
        </w:rPr>
        <w:t>12D</w:t>
      </w:r>
      <w:r w:rsidR="001A3F1B">
        <w:rPr>
          <w:b/>
          <w:color w:val="00B0F0"/>
          <w:sz w:val="21"/>
          <w:szCs w:val="21"/>
          <w:lang w:val="en-GB"/>
        </w:rPr>
        <w:t xml:space="preserve"> (Single award)</w:t>
      </w:r>
    </w:p>
    <w:p w:rsidRPr="00573BF2" w:rsidR="00770230" w:rsidRDefault="00F95822" w14:paraId="3DD93397" w14:textId="415CDDA4">
      <w:pPr>
        <w:rPr>
          <w:b/>
          <w:color w:val="00B0F0"/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This is the plan for the taught curriculum during a</w:t>
      </w:r>
      <w:r w:rsidRPr="007B04C0" w:rsidR="00AB16D0">
        <w:rPr>
          <w:sz w:val="21"/>
          <w:szCs w:val="21"/>
          <w:lang w:val="en-GB"/>
        </w:rPr>
        <w:t>chievement</w:t>
      </w:r>
      <w:r w:rsidRPr="007B04C0">
        <w:rPr>
          <w:sz w:val="21"/>
          <w:szCs w:val="21"/>
          <w:lang w:val="en-GB"/>
        </w:rPr>
        <w:t xml:space="preserve"> period</w:t>
      </w:r>
      <w:r w:rsidRPr="007B04C0" w:rsidR="00122AA1">
        <w:rPr>
          <w:sz w:val="21"/>
          <w:szCs w:val="21"/>
          <w:lang w:val="en-GB"/>
        </w:rPr>
        <w:t>:</w:t>
      </w:r>
      <w:r w:rsidRPr="007B04C0" w:rsidR="00AB16D0">
        <w:rPr>
          <w:sz w:val="21"/>
          <w:szCs w:val="21"/>
          <w:lang w:val="en-GB"/>
        </w:rPr>
        <w:t xml:space="preserve"> </w:t>
      </w:r>
      <w:r w:rsidR="005361D4">
        <w:rPr>
          <w:b/>
          <w:color w:val="00B0F0"/>
          <w:sz w:val="21"/>
          <w:szCs w:val="21"/>
          <w:lang w:val="en-GB"/>
        </w:rPr>
        <w:t>T</w:t>
      </w:r>
      <w:r w:rsidRPr="005361D4" w:rsidR="005361D4">
        <w:rPr>
          <w:b/>
          <w:color w:val="00B0F0"/>
          <w:sz w:val="21"/>
          <w:szCs w:val="21"/>
          <w:lang w:val="en-GB"/>
        </w:rPr>
        <w:t xml:space="preserve">erm </w:t>
      </w:r>
      <w:r w:rsidR="005E4F76">
        <w:rPr>
          <w:b/>
          <w:color w:val="00B0F0"/>
          <w:sz w:val="21"/>
          <w:szCs w:val="21"/>
          <w:lang w:val="en-GB"/>
        </w:rPr>
        <w:t>2</w:t>
      </w:r>
      <w:r w:rsidR="005361D4">
        <w:rPr>
          <w:b/>
          <w:color w:val="00B0F0"/>
          <w:sz w:val="21"/>
          <w:szCs w:val="21"/>
          <w:lang w:val="en-GB"/>
        </w:rPr>
        <w:t xml:space="preserve"> </w:t>
      </w:r>
      <w:r w:rsidRPr="005361D4" w:rsidR="005361D4">
        <w:rPr>
          <w:b/>
          <w:color w:val="00B0F0"/>
          <w:sz w:val="21"/>
          <w:szCs w:val="21"/>
          <w:lang w:val="en-GB"/>
        </w:rPr>
        <w:t>(</w:t>
      </w:r>
      <w:r w:rsidR="005E4F76">
        <w:rPr>
          <w:b/>
          <w:color w:val="00B0F0"/>
          <w:sz w:val="21"/>
          <w:szCs w:val="21"/>
          <w:lang w:val="en-GB"/>
        </w:rPr>
        <w:t>Jan-Easter</w:t>
      </w:r>
      <w:r w:rsidR="005361D4">
        <w:rPr>
          <w:b/>
          <w:color w:val="00B0F0"/>
          <w:sz w:val="21"/>
          <w:szCs w:val="21"/>
          <w:lang w:val="en-GB"/>
        </w:rPr>
        <w:t xml:space="preserve">) 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Pr="007B04C0" w:rsidR="00AA005C" w:rsidTr="1D3F80E0" w14:paraId="69A11376" w14:textId="77777777">
        <w:tc>
          <w:tcPr>
            <w:tcW w:w="10774" w:type="dxa"/>
            <w:shd w:val="clear" w:color="auto" w:fill="E2EFD9" w:themeFill="accent6" w:themeFillTint="33"/>
            <w:tcMar/>
          </w:tcPr>
          <w:p w:rsidRPr="007B04C0" w:rsidR="00AA005C" w:rsidP="00717220" w:rsidRDefault="007B1995" w14:paraId="446173B7" w14:textId="7016F072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B</w:t>
            </w:r>
            <w:r w:rsidRPr="007B04C0" w:rsidR="00AA005C">
              <w:rPr>
                <w:b/>
                <w:sz w:val="21"/>
                <w:szCs w:val="21"/>
                <w:lang w:val="en-GB"/>
              </w:rPr>
              <w:t>rief summary of the topic/work being covered during this period</w:t>
            </w:r>
            <w:r w:rsidRPr="007B04C0" w:rsidR="0071722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Pr="007B04C0" w:rsidR="008315F1" w:rsidTr="1D3F80E0" w14:paraId="4BF128E6" w14:textId="77777777">
        <w:tc>
          <w:tcPr>
            <w:tcW w:w="10774" w:type="dxa"/>
            <w:tcMar/>
          </w:tcPr>
          <w:p w:rsidR="00517A4C" w:rsidP="005028FD" w:rsidRDefault="00517A4C" w14:paraId="26CEF51F" w14:textId="25E1D9B7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2"/>
                <w:szCs w:val="21"/>
                <w:lang w:val="en-GB"/>
              </w:rPr>
            </w:pPr>
            <w:r>
              <w:rPr>
                <w:sz w:val="22"/>
                <w:szCs w:val="21"/>
                <w:lang w:val="en-GB"/>
              </w:rPr>
              <w:t>Week 1 and 2 – Preparation for the unit 2 exam in January.</w:t>
            </w:r>
          </w:p>
          <w:p w:rsidR="005028FD" w:rsidP="005028FD" w:rsidRDefault="008B11E6" w14:paraId="40168F44" w14:textId="612381A6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2"/>
                <w:szCs w:val="21"/>
                <w:lang w:val="en-GB"/>
              </w:rPr>
            </w:pPr>
            <w:r>
              <w:rPr>
                <w:sz w:val="22"/>
                <w:szCs w:val="21"/>
                <w:lang w:val="en-GB"/>
              </w:rPr>
              <w:t xml:space="preserve">Students will be working through 2 units </w:t>
            </w:r>
            <w:r w:rsidR="000143CA">
              <w:rPr>
                <w:sz w:val="22"/>
                <w:szCs w:val="21"/>
                <w:lang w:val="en-GB"/>
              </w:rPr>
              <w:t>this term (Unit 1 LHO and unit 5</w:t>
            </w:r>
            <w:r>
              <w:rPr>
                <w:sz w:val="22"/>
                <w:szCs w:val="21"/>
                <w:lang w:val="en-GB"/>
              </w:rPr>
              <w:t xml:space="preserve"> MSH)</w:t>
            </w:r>
          </w:p>
          <w:p w:rsidR="008B11E6" w:rsidP="00517A4C" w:rsidRDefault="00517A4C" w14:paraId="555F0DB1" w14:textId="77777777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2"/>
                <w:szCs w:val="21"/>
                <w:lang w:val="en-GB"/>
              </w:rPr>
            </w:pPr>
            <w:r>
              <w:rPr>
                <w:sz w:val="22"/>
                <w:szCs w:val="21"/>
                <w:lang w:val="en-GB"/>
              </w:rPr>
              <w:t>Students will finish 4 LOB’s of unit 1 (starting the 3rd</w:t>
            </w:r>
            <w:r w:rsidR="008B11E6">
              <w:rPr>
                <w:sz w:val="22"/>
                <w:szCs w:val="21"/>
                <w:lang w:val="en-GB"/>
              </w:rPr>
              <w:t>)</w:t>
            </w:r>
          </w:p>
          <w:p w:rsidRPr="00517A4C" w:rsidR="00517A4C" w:rsidP="00517A4C" w:rsidRDefault="00716D54" w14:paraId="19C23ED5" w14:textId="2B41670A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2"/>
                <w:szCs w:val="21"/>
                <w:lang w:val="en-GB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Students w</w:t>
            </w:r>
            <w:r w:rsidR="00310019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ill start unit 4 (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task 1 part A)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Pr="007B04C0" w:rsidR="007B1995" w:rsidTr="1D3F80E0" w14:paraId="07B414B0" w14:textId="77777777">
        <w:tc>
          <w:tcPr>
            <w:tcW w:w="10774" w:type="dxa"/>
            <w:shd w:val="clear" w:color="auto" w:fill="E2EFD9" w:themeFill="accent6" w:themeFillTint="33"/>
            <w:tcMar/>
          </w:tcPr>
          <w:p w:rsidRPr="007B04C0" w:rsidR="007B1995" w:rsidP="007B1995" w:rsidRDefault="006E5B6C" w14:paraId="74FC2212" w14:textId="72A33205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</w:t>
            </w:r>
            <w:r w:rsidRPr="007B04C0" w:rsidR="007B1995">
              <w:rPr>
                <w:b/>
                <w:sz w:val="21"/>
                <w:szCs w:val="21"/>
                <w:lang w:val="en-GB"/>
              </w:rPr>
              <w:t>rior knowledge needed for this unit/topic from previous teaching</w:t>
            </w:r>
          </w:p>
        </w:tc>
      </w:tr>
      <w:tr w:rsidRPr="007B04C0" w:rsidR="007B1995" w:rsidTr="1D3F80E0" w14:paraId="5B1F8AB2" w14:textId="77777777">
        <w:tc>
          <w:tcPr>
            <w:tcW w:w="10774" w:type="dxa"/>
            <w:tcMar/>
          </w:tcPr>
          <w:p w:rsidRPr="001B27D4" w:rsidR="00F809D2" w:rsidP="000143CA" w:rsidRDefault="00310019" w14:paraId="30878C56" w14:textId="4D4663AE">
            <w:pPr>
              <w:pStyle w:val="ListParagraph"/>
              <w:numPr>
                <w:ilvl w:val="0"/>
                <w:numId w:val="18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As mentioned in unit 1 the initial units build the foundations for all units. In term 2 it will be useful to take some key terminology from unit 1 and 2 that will support unit </w:t>
            </w:r>
            <w:r w:rsidR="000143CA">
              <w:rPr>
                <w:sz w:val="21"/>
                <w:szCs w:val="21"/>
                <w:lang w:val="en-GB"/>
              </w:rPr>
              <w:t>5</w:t>
            </w:r>
            <w:r>
              <w:rPr>
                <w:sz w:val="21"/>
                <w:szCs w:val="21"/>
                <w:lang w:val="en-GB"/>
              </w:rPr>
              <w:t>.</w:t>
            </w:r>
          </w:p>
        </w:tc>
      </w:tr>
      <w:tr w:rsidRPr="007B04C0" w:rsidR="00AA005C" w:rsidTr="1D3F80E0" w14:paraId="079F81EC" w14:textId="77777777">
        <w:tc>
          <w:tcPr>
            <w:tcW w:w="10774" w:type="dxa"/>
            <w:shd w:val="clear" w:color="auto" w:fill="E2EFD9" w:themeFill="accent6" w:themeFillTint="33"/>
            <w:tcMar/>
          </w:tcPr>
          <w:p w:rsidRPr="007B04C0" w:rsidR="00AA005C" w:rsidRDefault="007B1995" w14:paraId="7DBAF03E" w14:textId="26CF0E01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</w:t>
            </w:r>
            <w:r w:rsidRPr="007B04C0" w:rsidR="00AA005C">
              <w:rPr>
                <w:b/>
                <w:sz w:val="21"/>
                <w:szCs w:val="21"/>
                <w:lang w:val="en-GB"/>
              </w:rPr>
              <w:t>ationale for students studying this unit/topic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</w:p>
        </w:tc>
      </w:tr>
      <w:tr w:rsidRPr="007B04C0" w:rsidR="008315F1" w:rsidTr="1D3F80E0" w14:paraId="5B871996" w14:textId="77777777">
        <w:tc>
          <w:tcPr>
            <w:tcW w:w="10774" w:type="dxa"/>
            <w:tcMar/>
          </w:tcPr>
          <w:p w:rsidR="007B1995" w:rsidP="007B1995" w:rsidRDefault="007B1995" w14:paraId="207CCB31" w14:textId="2B133BA2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Rationale for studying this topic</w:t>
            </w:r>
            <w:r w:rsidR="004A05A9">
              <w:rPr>
                <w:b/>
                <w:sz w:val="21"/>
                <w:szCs w:val="21"/>
                <w:lang w:val="en-GB"/>
              </w:rPr>
              <w:t xml:space="preserve"> and timing:</w:t>
            </w:r>
            <w:r w:rsidR="00C619E1">
              <w:rPr>
                <w:b/>
                <w:sz w:val="21"/>
                <w:szCs w:val="21"/>
                <w:lang w:val="en-GB"/>
              </w:rPr>
              <w:t xml:space="preserve"> </w:t>
            </w:r>
          </w:p>
          <w:p w:rsidRPr="001E5A98" w:rsidR="001E5A98" w:rsidP="001E5A98" w:rsidRDefault="00517A4C" w14:paraId="60A347DE" w14:textId="2E0CCAF5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1"/>
                <w:szCs w:val="21"/>
                <w:lang w:val="en-GB"/>
              </w:rPr>
              <w:t>We will continue with unit 1</w:t>
            </w:r>
            <w:r w:rsidR="001E5A98">
              <w:rPr>
                <w:sz w:val="21"/>
                <w:szCs w:val="21"/>
                <w:lang w:val="en-GB"/>
              </w:rPr>
              <w:t>: This is a double unit and has 8 LOB</w:t>
            </w:r>
            <w:r w:rsidR="003871AE">
              <w:rPr>
                <w:sz w:val="21"/>
                <w:szCs w:val="21"/>
                <w:lang w:val="en-GB"/>
              </w:rPr>
              <w:t xml:space="preserve"> </w:t>
            </w:r>
            <w:r w:rsidR="001E5A98">
              <w:rPr>
                <w:sz w:val="21"/>
                <w:szCs w:val="21"/>
                <w:lang w:val="en-GB"/>
              </w:rPr>
              <w:t xml:space="preserve">S’s. Students have to pass this unit in order to complete the course. Students have 3 </w:t>
            </w:r>
            <w:r w:rsidR="0000546E">
              <w:rPr>
                <w:sz w:val="21"/>
                <w:szCs w:val="21"/>
                <w:lang w:val="en-GB"/>
              </w:rPr>
              <w:t>attempts (if required)</w:t>
            </w:r>
            <w:r w:rsidR="001E5A98">
              <w:rPr>
                <w:sz w:val="21"/>
                <w:szCs w:val="21"/>
                <w:lang w:val="en-GB"/>
              </w:rPr>
              <w:t xml:space="preserve"> to </w:t>
            </w:r>
            <w:r w:rsidR="00A762D6">
              <w:rPr>
                <w:sz w:val="21"/>
                <w:szCs w:val="21"/>
                <w:lang w:val="en-GB"/>
              </w:rPr>
              <w:t>pass the exam</w:t>
            </w:r>
            <w:r w:rsidR="0000546E">
              <w:rPr>
                <w:sz w:val="21"/>
                <w:szCs w:val="21"/>
                <w:lang w:val="en-GB"/>
              </w:rPr>
              <w:t>,</w:t>
            </w:r>
            <w:r w:rsidR="00A762D6">
              <w:rPr>
                <w:sz w:val="21"/>
                <w:szCs w:val="21"/>
                <w:lang w:val="en-GB"/>
              </w:rPr>
              <w:t xml:space="preserve"> in order to ensure this is possible we have to start with this unit in year 12 (term 1). The unit is set up to complete LOB 1 first through to LO8.</w:t>
            </w:r>
          </w:p>
          <w:p w:rsidRPr="00517A4C" w:rsidR="001E5A98" w:rsidP="00517A4C" w:rsidRDefault="001E5A98" w14:paraId="126BC912" w14:textId="77777777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0546E">
              <w:rPr>
                <w:b/>
                <w:sz w:val="21"/>
                <w:szCs w:val="21"/>
                <w:lang w:val="en-GB"/>
              </w:rPr>
              <w:t>Unit 2:</w:t>
            </w:r>
            <w:r>
              <w:rPr>
                <w:sz w:val="21"/>
                <w:szCs w:val="21"/>
                <w:lang w:val="en-GB"/>
              </w:rPr>
              <w:t xml:space="preserve"> </w:t>
            </w:r>
            <w:r w:rsidR="00517A4C">
              <w:rPr>
                <w:sz w:val="21"/>
                <w:szCs w:val="21"/>
                <w:lang w:val="en-GB"/>
              </w:rPr>
              <w:t>External exam in January.</w:t>
            </w:r>
          </w:p>
          <w:p w:rsidRPr="00C358F8" w:rsidR="00517A4C" w:rsidP="6B61AF09" w:rsidRDefault="00C358F8" w14:noSpellErr="1" w14:paraId="061418B2" w14:textId="55A1CA51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6B61AF09" w:rsidR="00C358F8">
              <w:rPr>
                <w:b w:val="1"/>
                <w:bCs w:val="1"/>
                <w:sz w:val="20"/>
                <w:szCs w:val="20"/>
              </w:rPr>
              <w:t>Unit 5:</w:t>
            </w:r>
            <w:r w:rsidRPr="6B61AF09" w:rsidR="00C358F8">
              <w:rPr>
                <w:sz w:val="20"/>
                <w:szCs w:val="20"/>
              </w:rPr>
              <w:t xml:space="preserve"> </w:t>
            </w:r>
            <w:r w:rsidRPr="6B61AF09" w:rsidR="00C358F8">
              <w:rPr>
                <w:sz w:val="20"/>
                <w:szCs w:val="20"/>
              </w:rPr>
              <w:t>Ma</w:t>
            </w:r>
            <w:r w:rsidRPr="6B61AF09" w:rsidR="00C358F8">
              <w:rPr>
                <w:sz w:val="22"/>
                <w:szCs w:val="22"/>
              </w:rPr>
              <w:t xml:space="preserve">ndatory unit for the double award. This unit is also one of the few linked to </w:t>
            </w:r>
            <w:r w:rsidRPr="6B61AF09" w:rsidR="00C358F8">
              <w:rPr>
                <w:sz w:val="22"/>
                <w:szCs w:val="22"/>
              </w:rPr>
              <w:t>the single award qualification so it is beneficial to have these running fairly close together across the 2 groups. The unit is also the starting point for the Marketing pathway and feeds into units 6 &amp; 7.</w:t>
            </w:r>
          </w:p>
          <w:p w:rsidRPr="00C358F8" w:rsidR="00517A4C" w:rsidP="00C358F8" w:rsidRDefault="00C358F8" w14:paraId="27C56A2D" w14:textId="691C5138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1D3F80E0" w:rsidR="6B61AF09">
              <w:rPr>
                <w:b w:val="1"/>
                <w:bCs w:val="1"/>
                <w:sz w:val="22"/>
                <w:szCs w:val="22"/>
              </w:rPr>
              <w:t xml:space="preserve">Unit 16 </w:t>
            </w:r>
            <w:r w:rsidRPr="1D3F80E0" w:rsidR="6B61AF09">
              <w:rPr>
                <w:sz w:val="22"/>
                <w:szCs w:val="22"/>
              </w:rPr>
              <w:t xml:space="preserve">– Mandatory unit for the double award student and optional unit for </w:t>
            </w:r>
            <w:r w:rsidRPr="1D3F80E0" w:rsidR="6B61AF09">
              <w:rPr>
                <w:sz w:val="22"/>
                <w:szCs w:val="22"/>
              </w:rPr>
              <w:t>single</w:t>
            </w:r>
            <w:r w:rsidRPr="1D3F80E0" w:rsidR="6B61AF09">
              <w:rPr>
                <w:sz w:val="22"/>
                <w:szCs w:val="22"/>
              </w:rPr>
              <w:t xml:space="preserve"> award.</w:t>
            </w:r>
          </w:p>
        </w:tc>
      </w:tr>
      <w:tr w:rsidRPr="007B04C0" w:rsidR="00AA005C" w:rsidTr="1D3F80E0" w14:paraId="6BD43A62" w14:textId="77777777">
        <w:tc>
          <w:tcPr>
            <w:tcW w:w="10774" w:type="dxa"/>
            <w:shd w:val="clear" w:color="auto" w:fill="E2EFD9" w:themeFill="accent6" w:themeFillTint="33"/>
            <w:tcMar/>
          </w:tcPr>
          <w:p w:rsidRPr="00B2123C" w:rsidR="00AA005C" w:rsidRDefault="003B1C40" w14:paraId="23E38E3B" w14:textId="7A3755DA">
            <w:pPr>
              <w:rPr>
                <w:b/>
                <w:sz w:val="21"/>
                <w:szCs w:val="21"/>
                <w:lang w:val="en-GB"/>
              </w:rPr>
            </w:pPr>
            <w:r w:rsidRPr="00B2123C">
              <w:rPr>
                <w:b/>
                <w:sz w:val="21"/>
                <w:szCs w:val="21"/>
                <w:lang w:val="en-GB"/>
              </w:rPr>
              <w:t>K</w:t>
            </w:r>
            <w:r w:rsidRPr="00B2123C" w:rsidR="00AA005C">
              <w:rPr>
                <w:b/>
                <w:sz w:val="21"/>
                <w:szCs w:val="21"/>
                <w:lang w:val="en-GB"/>
              </w:rPr>
              <w:t>ey concepts/ideas that are taught to students in this unit/topic</w:t>
            </w:r>
            <w:r w:rsidRPr="00B2123C" w:rsidR="007B1995">
              <w:rPr>
                <w:b/>
                <w:sz w:val="21"/>
                <w:szCs w:val="21"/>
                <w:lang w:val="en-GB"/>
              </w:rPr>
              <w:t xml:space="preserve">, including </w:t>
            </w:r>
            <w:r w:rsidRPr="00B2123C">
              <w:rPr>
                <w:b/>
                <w:sz w:val="21"/>
                <w:szCs w:val="21"/>
                <w:lang w:val="en-GB"/>
              </w:rPr>
              <w:t>a</w:t>
            </w:r>
            <w:r w:rsidRPr="00B2123C" w:rsidR="007B1995">
              <w:rPr>
                <w:b/>
                <w:sz w:val="21"/>
                <w:szCs w:val="21"/>
                <w:lang w:val="en-GB"/>
              </w:rPr>
              <w:t xml:space="preserve">ny </w:t>
            </w:r>
            <w:r w:rsidRPr="00B2123C" w:rsidR="00F56CCA">
              <w:rPr>
                <w:b/>
                <w:sz w:val="21"/>
                <w:szCs w:val="21"/>
                <w:lang w:val="en-GB"/>
              </w:rPr>
              <w:t xml:space="preserve">anticipated gaps in </w:t>
            </w:r>
            <w:r w:rsidRPr="00B2123C" w:rsidR="007B1995">
              <w:rPr>
                <w:b/>
                <w:sz w:val="21"/>
                <w:szCs w:val="21"/>
                <w:lang w:val="en-GB"/>
              </w:rPr>
              <w:t>knowledge</w:t>
            </w:r>
            <w:r w:rsidRPr="00B2123C" w:rsidR="00F56CCA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B2123C">
              <w:rPr>
                <w:b/>
                <w:sz w:val="21"/>
                <w:szCs w:val="21"/>
                <w:lang w:val="en-GB"/>
              </w:rPr>
              <w:t xml:space="preserve">and </w:t>
            </w:r>
            <w:r w:rsidRPr="00B2123C" w:rsidR="007B1995">
              <w:rPr>
                <w:b/>
                <w:sz w:val="21"/>
                <w:szCs w:val="21"/>
                <w:lang w:val="en-GB"/>
              </w:rPr>
              <w:t>plan</w:t>
            </w:r>
            <w:r w:rsidRPr="00B2123C" w:rsidR="00F56CCA">
              <w:rPr>
                <w:b/>
                <w:sz w:val="21"/>
                <w:szCs w:val="21"/>
                <w:lang w:val="en-GB"/>
              </w:rPr>
              <w:t xml:space="preserve"> to overcome</w:t>
            </w:r>
            <w:r w:rsidRPr="00B2123C" w:rsidR="007B1995">
              <w:rPr>
                <w:b/>
                <w:sz w:val="21"/>
                <w:szCs w:val="21"/>
                <w:lang w:val="en-GB"/>
              </w:rPr>
              <w:t xml:space="preserve"> these</w:t>
            </w:r>
          </w:p>
        </w:tc>
      </w:tr>
      <w:tr w:rsidRPr="007B04C0" w:rsidR="00FD3C7B" w:rsidTr="1D3F80E0" w14:paraId="05734B6B" w14:textId="77777777">
        <w:tc>
          <w:tcPr>
            <w:tcW w:w="10774" w:type="dxa"/>
            <w:shd w:val="clear" w:color="auto" w:fill="auto"/>
            <w:tcMar/>
          </w:tcPr>
          <w:p w:rsidRPr="009C7333" w:rsidR="009E5B0A" w:rsidP="009C7333" w:rsidRDefault="005240E6" w14:paraId="281B9C98" w14:textId="5ED34150">
            <w:pPr>
              <w:pStyle w:val="ListParagraph"/>
              <w:numPr>
                <w:ilvl w:val="0"/>
                <w:numId w:val="27"/>
              </w:numPr>
              <w:rPr>
                <w:sz w:val="21"/>
                <w:szCs w:val="21"/>
                <w:lang w:val="en-GB"/>
              </w:rPr>
            </w:pPr>
            <w:r w:rsidRPr="009C7333">
              <w:rPr>
                <w:sz w:val="21"/>
                <w:szCs w:val="21"/>
                <w:lang w:val="en-GB"/>
              </w:rPr>
              <w:t xml:space="preserve">Unit 1: </w:t>
            </w:r>
            <w:r w:rsidRPr="009C7333" w:rsidR="00517A4C">
              <w:rPr>
                <w:sz w:val="21"/>
                <w:szCs w:val="21"/>
                <w:lang w:val="en-GB"/>
              </w:rPr>
              <w:t>LO4 (Be able to use financial information</w:t>
            </w:r>
            <w:r w:rsidRPr="009C7333" w:rsidR="009E5B0A">
              <w:rPr>
                <w:sz w:val="21"/>
                <w:szCs w:val="21"/>
                <w:lang w:val="en-GB"/>
              </w:rPr>
              <w:t xml:space="preserve">), </w:t>
            </w:r>
            <w:r w:rsidRPr="009C7333" w:rsidR="00517A4C">
              <w:rPr>
                <w:sz w:val="21"/>
                <w:szCs w:val="21"/>
                <w:lang w:val="en-GB"/>
              </w:rPr>
              <w:t>LO5 (Stakeholder relationships), LO6</w:t>
            </w:r>
            <w:r w:rsidRPr="009C7333" w:rsidR="009E5B0A">
              <w:rPr>
                <w:sz w:val="21"/>
                <w:szCs w:val="21"/>
                <w:lang w:val="en-GB"/>
              </w:rPr>
              <w:t xml:space="preserve"> (The ef</w:t>
            </w:r>
            <w:r w:rsidRPr="009C7333" w:rsidR="009C7333">
              <w:rPr>
                <w:sz w:val="21"/>
                <w:szCs w:val="21"/>
                <w:lang w:val="en-GB"/>
              </w:rPr>
              <w:t>fect of external influences</w:t>
            </w:r>
            <w:r w:rsidRPr="009C7333" w:rsidR="009E5B0A">
              <w:rPr>
                <w:sz w:val="21"/>
                <w:szCs w:val="21"/>
                <w:lang w:val="en-GB"/>
              </w:rPr>
              <w:t>)</w:t>
            </w:r>
            <w:r w:rsidRPr="009C7333" w:rsidR="009C7333">
              <w:rPr>
                <w:sz w:val="21"/>
                <w:szCs w:val="21"/>
                <w:lang w:val="en-GB"/>
              </w:rPr>
              <w:t>, LO7 (Business plans)</w:t>
            </w:r>
            <w:r w:rsidRPr="009C7333" w:rsidR="009E5B0A">
              <w:rPr>
                <w:sz w:val="21"/>
                <w:szCs w:val="21"/>
                <w:lang w:val="en-GB"/>
              </w:rPr>
              <w:t>.</w:t>
            </w:r>
            <w:r w:rsidRPr="009C7333" w:rsidR="00552635">
              <w:rPr>
                <w:sz w:val="21"/>
                <w:szCs w:val="21"/>
                <w:lang w:val="en-GB"/>
              </w:rPr>
              <w:t xml:space="preserve"> - (See Unit guide for full content)</w:t>
            </w:r>
          </w:p>
          <w:p w:rsidR="00B2123C" w:rsidP="0000546E" w:rsidRDefault="0000546E" w14:paraId="106EED14" w14:textId="77777777">
            <w:pPr>
              <w:pStyle w:val="ListParagraph"/>
              <w:numPr>
                <w:ilvl w:val="0"/>
                <w:numId w:val="26"/>
              </w:numPr>
              <w:rPr>
                <w:sz w:val="21"/>
                <w:szCs w:val="21"/>
                <w:lang w:val="en-GB"/>
              </w:rPr>
            </w:pPr>
            <w:r w:rsidRPr="009C7333">
              <w:rPr>
                <w:sz w:val="21"/>
                <w:szCs w:val="21"/>
                <w:lang w:val="en-GB"/>
              </w:rPr>
              <w:t>Unit 2</w:t>
            </w:r>
            <w:r w:rsidRPr="009C7333" w:rsidR="00B2123C">
              <w:rPr>
                <w:sz w:val="21"/>
                <w:szCs w:val="21"/>
                <w:lang w:val="en-GB"/>
              </w:rPr>
              <w:t>:</w:t>
            </w:r>
            <w:r w:rsidRPr="00B2123C" w:rsidR="00B2123C">
              <w:rPr>
                <w:sz w:val="21"/>
                <w:szCs w:val="21"/>
                <w:lang w:val="en-GB"/>
              </w:rPr>
              <w:t xml:space="preserve"> Full revision and exam technique in preparation for the exam in January.</w:t>
            </w:r>
          </w:p>
          <w:p w:rsidRPr="00B2123C" w:rsidR="009C7333" w:rsidP="6B61AF09" w:rsidRDefault="002500E5" w14:textId="6B26D984" w14:noSpellErr="1" w14:paraId="7918FAA9">
            <w:pPr>
              <w:pStyle w:val="ListParagraph"/>
              <w:numPr>
                <w:ilvl w:val="0"/>
                <w:numId w:val="26"/>
              </w:numPr>
              <w:rPr>
                <w:rStyle w:val="normaltextrun"/>
                <w:sz w:val="21"/>
                <w:szCs w:val="21"/>
                <w:lang w:val="en-GB"/>
              </w:rPr>
            </w:pPr>
            <w:r w:rsidRPr="002500E5" w:rsidR="002500E5">
              <w:rPr>
                <w:sz w:val="21"/>
                <w:szCs w:val="21"/>
                <w:lang w:val="en-GB"/>
              </w:rPr>
              <w:t>Unit 5</w:t>
            </w:r>
            <w:r w:rsidRPr="6B61AF09" w:rsidR="002500E5">
              <w:rPr>
                <w:b w:val="1"/>
                <w:bCs w:val="1"/>
                <w:sz w:val="21"/>
                <w:szCs w:val="21"/>
                <w:lang w:val="en-GB"/>
              </w:rPr>
              <w:t>:</w:t>
            </w:r>
            <w:r w:rsidR="002500E5">
              <w:rPr>
                <w:sz w:val="20"/>
                <w:szCs w:val="20"/>
              </w:rPr>
              <w:t xml:space="preserve"> </w:t>
            </w:r>
            <w:r w:rsidR="00C358F8">
              <w:rPr>
                <w:rStyle w:val="normaltextrun"/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 Introduction to the unit and specific businesses. Introduction to task 1 of the model assignment. In term 1 students will complete </w:t>
            </w:r>
            <w:r w:rsidR="00C358F8">
              <w:rPr>
                <w:rStyle w:val="normaltextrun"/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P1(</w:t>
            </w:r>
            <w:r w:rsidR="00C358F8">
              <w:rPr>
                <w:rStyle w:val="normaltextrun"/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Role of the marketing function), P2</w:t>
            </w:r>
            <w:r w:rsidR="00C358F8">
              <w:rPr>
                <w:rStyle w:val="normaltextrun"/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 xml:space="preserve"> (Benefits of market analysis).</w:t>
            </w:r>
            <w:bookmarkStart w:name="_GoBack" w:id="0"/>
            <w:bookmarkEnd w:id="0"/>
          </w:p>
          <w:p w:rsidRPr="00B2123C" w:rsidR="009C7333" w:rsidP="00C358F8" w:rsidRDefault="002500E5" w14:paraId="52FE6B9D" w14:textId="7A64052A">
            <w:pPr>
              <w:pStyle w:val="ListParagraph"/>
              <w:numPr>
                <w:ilvl w:val="0"/>
                <w:numId w:val="26"/>
              </w:numPr>
              <w:rPr>
                <w:sz w:val="21"/>
                <w:szCs w:val="21"/>
                <w:lang w:val="en-GB"/>
              </w:rPr>
            </w:pPr>
            <w:r w:rsidRPr="6B61AF09" w:rsidR="6B61AF09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1"/>
                <w:szCs w:val="21"/>
                <w:lang w:val="en-GB"/>
              </w:rPr>
              <w:t>Unit 16: Introduction to the business challenge, project plans, skills of a project leader.</w:t>
            </w:r>
          </w:p>
        </w:tc>
      </w:tr>
      <w:tr w:rsidRPr="007B04C0" w:rsidR="00AA005C" w:rsidTr="1D3F80E0" w14:paraId="5B2CDDBC" w14:textId="77777777">
        <w:tc>
          <w:tcPr>
            <w:tcW w:w="10774" w:type="dxa"/>
            <w:shd w:val="clear" w:color="auto" w:fill="E2EFD9" w:themeFill="accent6" w:themeFillTint="33"/>
            <w:tcMar/>
          </w:tcPr>
          <w:p w:rsidRPr="00722EC8" w:rsidR="00AA005C" w:rsidRDefault="003B1C40" w14:paraId="24C6014E" w14:textId="31085703">
            <w:pPr>
              <w:rPr>
                <w:b/>
                <w:sz w:val="21"/>
                <w:szCs w:val="21"/>
                <w:lang w:val="en-GB"/>
              </w:rPr>
            </w:pPr>
            <w:r w:rsidRPr="00722EC8">
              <w:rPr>
                <w:b/>
                <w:sz w:val="21"/>
                <w:szCs w:val="21"/>
                <w:lang w:val="en-GB"/>
              </w:rPr>
              <w:t>New</w:t>
            </w:r>
            <w:r w:rsidRPr="00722EC8" w:rsidR="004124B4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722EC8" w:rsidR="00AA005C">
              <w:rPr>
                <w:b/>
                <w:sz w:val="21"/>
                <w:szCs w:val="21"/>
                <w:lang w:val="en-GB"/>
              </w:rPr>
              <w:t xml:space="preserve">key terminology </w:t>
            </w:r>
            <w:r w:rsidRPr="00722EC8">
              <w:rPr>
                <w:b/>
                <w:sz w:val="21"/>
                <w:szCs w:val="21"/>
                <w:lang w:val="en-GB"/>
              </w:rPr>
              <w:t>s</w:t>
            </w:r>
            <w:r w:rsidRPr="00722EC8" w:rsidR="00AA005C">
              <w:rPr>
                <w:b/>
                <w:sz w:val="21"/>
                <w:szCs w:val="21"/>
                <w:lang w:val="en-GB"/>
              </w:rPr>
              <w:t xml:space="preserve">tudents </w:t>
            </w:r>
            <w:r w:rsidRPr="00722EC8">
              <w:rPr>
                <w:b/>
                <w:sz w:val="21"/>
                <w:szCs w:val="21"/>
                <w:lang w:val="en-GB"/>
              </w:rPr>
              <w:t xml:space="preserve">will be </w:t>
            </w:r>
            <w:r w:rsidRPr="00722EC8" w:rsidR="00AA005C">
              <w:rPr>
                <w:b/>
                <w:sz w:val="21"/>
                <w:szCs w:val="21"/>
                <w:lang w:val="en-GB"/>
              </w:rPr>
              <w:t>taught during this topic/unit</w:t>
            </w:r>
          </w:p>
        </w:tc>
      </w:tr>
      <w:tr w:rsidRPr="007B04C0" w:rsidR="008315F1" w:rsidTr="1D3F80E0" w14:paraId="09BEEACA" w14:textId="77777777">
        <w:trPr>
          <w:trHeight w:val="640"/>
        </w:trPr>
        <w:tc>
          <w:tcPr>
            <w:tcW w:w="10774" w:type="dxa"/>
            <w:tcMar/>
          </w:tcPr>
          <w:p w:rsidR="00613502" w:rsidP="004F3C65" w:rsidRDefault="009E5B0A" w14:paraId="250936B2" w14:textId="13F49BDA">
            <w:pPr>
              <w:rPr>
                <w:sz w:val="21"/>
                <w:szCs w:val="21"/>
                <w:lang w:val="en-GB"/>
              </w:rPr>
            </w:pPr>
            <w:r w:rsidRPr="001936A5">
              <w:rPr>
                <w:b/>
                <w:sz w:val="21"/>
                <w:szCs w:val="21"/>
                <w:lang w:val="en-GB"/>
              </w:rPr>
              <w:t>Unit 1:</w:t>
            </w:r>
            <w:r w:rsidR="00552635">
              <w:rPr>
                <w:sz w:val="21"/>
                <w:szCs w:val="21"/>
                <w:lang w:val="en-GB"/>
              </w:rPr>
              <w:t xml:space="preserve"> </w:t>
            </w:r>
            <w:r w:rsidR="00A67CC5">
              <w:rPr>
                <w:sz w:val="21"/>
                <w:szCs w:val="21"/>
                <w:lang w:val="en-GB"/>
              </w:rPr>
              <w:t xml:space="preserve">Survival, risk, crowdfunding, venture capitalist, trade credit, reserves, ethics, legislation, economic factors, environmental factors, stakeholders, break even, costs, </w:t>
            </w:r>
            <w:proofErr w:type="spellStart"/>
            <w:r w:rsidR="00A67CC5">
              <w:rPr>
                <w:sz w:val="21"/>
                <w:szCs w:val="21"/>
                <w:lang w:val="en-GB"/>
              </w:rPr>
              <w:t>cashflow</w:t>
            </w:r>
            <w:proofErr w:type="spellEnd"/>
            <w:r w:rsidR="00A67CC5">
              <w:rPr>
                <w:sz w:val="21"/>
                <w:szCs w:val="21"/>
                <w:lang w:val="en-GB"/>
              </w:rPr>
              <w:t xml:space="preserve">, margin of safety, revenue, financial documents. </w:t>
            </w:r>
            <w:r w:rsidRPr="00A67CC5" w:rsidR="00A67CC5">
              <w:rPr>
                <w:b/>
                <w:sz w:val="21"/>
                <w:szCs w:val="21"/>
                <w:lang w:val="en-GB"/>
              </w:rPr>
              <w:t>(S</w:t>
            </w:r>
            <w:r w:rsidRPr="00A67CC5" w:rsidR="00552635">
              <w:rPr>
                <w:b/>
                <w:sz w:val="21"/>
                <w:szCs w:val="21"/>
                <w:lang w:val="en-GB"/>
              </w:rPr>
              <w:t>ee</w:t>
            </w:r>
            <w:r w:rsidR="00552635">
              <w:rPr>
                <w:b/>
                <w:sz w:val="21"/>
                <w:szCs w:val="21"/>
                <w:lang w:val="en-GB"/>
              </w:rPr>
              <w:t xml:space="preserve"> Unit guide for full content)</w:t>
            </w:r>
          </w:p>
          <w:p w:rsidR="001936A5" w:rsidP="009C7333" w:rsidRDefault="001936A5" w14:paraId="52FDB67C" w14:textId="77777777">
            <w:pPr>
              <w:rPr>
                <w:b/>
                <w:sz w:val="21"/>
                <w:szCs w:val="21"/>
                <w:lang w:val="en-GB"/>
              </w:rPr>
            </w:pPr>
            <w:r w:rsidRPr="001936A5">
              <w:rPr>
                <w:b/>
                <w:sz w:val="21"/>
                <w:szCs w:val="21"/>
                <w:lang w:val="en-GB"/>
              </w:rPr>
              <w:t>Unit 2:</w:t>
            </w:r>
            <w:r>
              <w:rPr>
                <w:b/>
                <w:sz w:val="21"/>
                <w:szCs w:val="21"/>
                <w:lang w:val="en-GB"/>
              </w:rPr>
              <w:t xml:space="preserve"> </w:t>
            </w:r>
            <w:r w:rsidR="00552635">
              <w:rPr>
                <w:b/>
                <w:sz w:val="21"/>
                <w:szCs w:val="21"/>
                <w:lang w:val="en-GB"/>
              </w:rPr>
              <w:t>(See Unit guide for full content)</w:t>
            </w:r>
          </w:p>
          <w:p w:rsidRPr="001936A5" w:rsidR="009C7333" w:rsidP="6B61AF09" w:rsidRDefault="002500E5" w14:textId="5B8FC3AD" w14:noSpellErr="1" w14:paraId="4889A891">
            <w:pPr>
              <w:rPr>
                <w:b w:val="1"/>
                <w:bCs w:val="1"/>
                <w:sz w:val="21"/>
                <w:szCs w:val="21"/>
                <w:lang w:val="en-GB"/>
              </w:rPr>
            </w:pPr>
            <w:r w:rsidRPr="6B61AF09" w:rsidR="002500E5">
              <w:rPr>
                <w:b w:val="1"/>
                <w:bCs w:val="1"/>
                <w:sz w:val="21"/>
                <w:szCs w:val="21"/>
                <w:lang w:val="en-GB"/>
              </w:rPr>
              <w:t xml:space="preserve">Unit 5: </w:t>
            </w:r>
            <w:r w:rsidR="002500E5">
              <w:rPr>
                <w:rStyle w:val="normaltextrun"/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Market analysis, market strategy, market value, market volume, downsizing, market mapping, methods of market segmentation.</w:t>
            </w:r>
          </w:p>
          <w:p w:rsidRPr="001936A5" w:rsidR="009C7333" w:rsidP="6B61AF09" w:rsidRDefault="002500E5" w14:paraId="7134982D" w14:textId="120D29D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2"/>
                <w:szCs w:val="22"/>
              </w:rPr>
            </w:pPr>
            <w:r w:rsidRPr="6B61AF09" w:rsidR="6B61AF09">
              <w:rPr>
                <w:b w:val="1"/>
                <w:bCs w:val="1"/>
                <w:sz w:val="22"/>
                <w:szCs w:val="22"/>
              </w:rPr>
              <w:t xml:space="preserve">Unit 16 </w:t>
            </w:r>
            <w:r w:rsidRPr="6B61AF09" w:rsidR="6B61AF09">
              <w:rPr>
                <w:sz w:val="22"/>
                <w:szCs w:val="22"/>
              </w:rPr>
              <w:t xml:space="preserve">– </w:t>
            </w:r>
            <w:r w:rsidRPr="6B61AF09" w:rsidR="6B61AF09">
              <w:rPr>
                <w:sz w:val="22"/>
                <w:szCs w:val="22"/>
              </w:rPr>
              <w:t>Project plans, leadership, motivation, stakeholders.</w:t>
            </w:r>
          </w:p>
        </w:tc>
      </w:tr>
      <w:tr w:rsidRPr="007B04C0" w:rsidR="00717220" w:rsidTr="1D3F80E0" w14:paraId="0BD4097E" w14:textId="77777777">
        <w:tc>
          <w:tcPr>
            <w:tcW w:w="10774" w:type="dxa"/>
            <w:shd w:val="clear" w:color="auto" w:fill="E2EFD9" w:themeFill="accent6" w:themeFillTint="33"/>
            <w:tcMar/>
          </w:tcPr>
          <w:p w:rsidRPr="00DC5ADF" w:rsidR="00717220" w:rsidRDefault="003B1C40" w14:paraId="7C420558" w14:textId="71D83BBA">
            <w:pPr>
              <w:rPr>
                <w:b/>
                <w:sz w:val="21"/>
                <w:szCs w:val="21"/>
                <w:highlight w:val="yellow"/>
                <w:lang w:val="en-GB"/>
              </w:rPr>
            </w:pPr>
            <w:r w:rsidRPr="00722EC8">
              <w:rPr>
                <w:b/>
                <w:sz w:val="21"/>
                <w:szCs w:val="21"/>
                <w:lang w:val="en-GB"/>
              </w:rPr>
              <w:t xml:space="preserve">Plan for Assessment </w:t>
            </w:r>
          </w:p>
        </w:tc>
      </w:tr>
      <w:tr w:rsidRPr="00722EC8" w:rsidR="00717220" w:rsidTr="1D3F80E0" w14:paraId="56B7F9FC" w14:textId="77777777">
        <w:tc>
          <w:tcPr>
            <w:tcW w:w="10774" w:type="dxa"/>
            <w:tcMar/>
          </w:tcPr>
          <w:p w:rsidR="00722EC8" w:rsidP="004F3C65" w:rsidRDefault="005240E6" w14:paraId="2E934C44" w14:textId="6608132A">
            <w:pPr>
              <w:jc w:val="both"/>
              <w:rPr>
                <w:sz w:val="21"/>
                <w:szCs w:val="21"/>
                <w:lang w:val="en-GB"/>
              </w:rPr>
            </w:pPr>
            <w:r w:rsidRPr="005240E6">
              <w:rPr>
                <w:b/>
                <w:sz w:val="21"/>
                <w:szCs w:val="21"/>
                <w:lang w:val="en-GB"/>
              </w:rPr>
              <w:t>Unit 1</w:t>
            </w:r>
            <w:r>
              <w:rPr>
                <w:sz w:val="21"/>
                <w:szCs w:val="21"/>
                <w:lang w:val="en-GB"/>
              </w:rPr>
              <w:t xml:space="preserve">: </w:t>
            </w:r>
            <w:r w:rsidR="009C7333">
              <w:rPr>
                <w:sz w:val="21"/>
                <w:szCs w:val="21"/>
                <w:lang w:val="en-GB"/>
              </w:rPr>
              <w:t>2</w:t>
            </w:r>
            <w:r>
              <w:rPr>
                <w:sz w:val="21"/>
                <w:szCs w:val="21"/>
                <w:lang w:val="en-GB"/>
              </w:rPr>
              <w:t xml:space="preserve"> LOB tests (</w:t>
            </w:r>
            <w:r w:rsidR="009C7333">
              <w:rPr>
                <w:sz w:val="21"/>
                <w:szCs w:val="21"/>
                <w:lang w:val="en-GB"/>
              </w:rPr>
              <w:t xml:space="preserve">Mix of Lo4&amp;5 and 5&amp;6 </w:t>
            </w:r>
            <w:r>
              <w:rPr>
                <w:sz w:val="21"/>
                <w:szCs w:val="21"/>
                <w:lang w:val="en-GB"/>
              </w:rPr>
              <w:t>based on past paper questions)</w:t>
            </w:r>
          </w:p>
          <w:p w:rsidR="005240E6" w:rsidP="004F3C65" w:rsidRDefault="005240E6" w14:paraId="7B5C9D3B" w14:textId="0F15ADFF">
            <w:pPr>
              <w:jc w:val="both"/>
              <w:rPr>
                <w:sz w:val="21"/>
                <w:szCs w:val="21"/>
                <w:lang w:val="en-GB"/>
              </w:rPr>
            </w:pPr>
            <w:r w:rsidRPr="005240E6">
              <w:rPr>
                <w:b/>
                <w:sz w:val="21"/>
                <w:szCs w:val="21"/>
                <w:lang w:val="en-GB"/>
              </w:rPr>
              <w:t>Unit 2</w:t>
            </w:r>
            <w:r>
              <w:rPr>
                <w:b/>
                <w:sz w:val="21"/>
                <w:szCs w:val="21"/>
                <w:lang w:val="en-GB"/>
              </w:rPr>
              <w:t>:</w:t>
            </w:r>
            <w:r w:rsidR="009C7333">
              <w:rPr>
                <w:sz w:val="21"/>
                <w:szCs w:val="21"/>
                <w:lang w:val="en-GB"/>
              </w:rPr>
              <w:t xml:space="preserve"> External exam</w:t>
            </w:r>
          </w:p>
          <w:p w:rsidRPr="00722EC8" w:rsidR="005240E6" w:rsidP="6B61AF09" w:rsidRDefault="002500E5" w14:noSpellErr="1" w14:paraId="1DD825C1" w14:textId="4EA9FBEB">
            <w:pPr>
              <w:jc w:val="both"/>
              <w:rPr>
                <w:sz w:val="21"/>
                <w:szCs w:val="21"/>
                <w:highlight w:val="yellow"/>
                <w:lang w:val="en-GB"/>
              </w:rPr>
            </w:pPr>
            <w:r w:rsidRPr="6B61AF09" w:rsidR="002500E5">
              <w:rPr>
                <w:b w:val="1"/>
                <w:bCs w:val="1"/>
                <w:sz w:val="21"/>
                <w:szCs w:val="21"/>
                <w:lang w:val="en-GB"/>
              </w:rPr>
              <w:t>Unit 5</w:t>
            </w:r>
            <w:r w:rsidRPr="6B61AF09" w:rsidR="009C7333">
              <w:rPr>
                <w:b w:val="1"/>
                <w:bCs w:val="1"/>
                <w:sz w:val="21"/>
                <w:szCs w:val="21"/>
                <w:lang w:val="en-GB"/>
              </w:rPr>
              <w:t xml:space="preserve">: </w:t>
            </w:r>
            <w:r w:rsidRPr="6B61AF09" w:rsidR="009C7333">
              <w:rPr>
                <w:sz w:val="21"/>
                <w:szCs w:val="21"/>
                <w:lang w:val="en-GB"/>
              </w:rPr>
              <w:t>Internally assessed coursework tasks</w:t>
            </w:r>
            <w:r w:rsidRPr="6B61AF09" w:rsidR="009C7333">
              <w:rPr>
                <w:sz w:val="21"/>
                <w:szCs w:val="21"/>
                <w:lang w:val="en-GB"/>
              </w:rPr>
              <w:t xml:space="preserve"> (externally </w:t>
            </w:r>
            <w:r w:rsidRPr="6B61AF09" w:rsidR="00310019">
              <w:rPr>
                <w:sz w:val="21"/>
                <w:szCs w:val="21"/>
                <w:lang w:val="en-GB"/>
              </w:rPr>
              <w:t>m</w:t>
            </w:r>
            <w:r w:rsidRPr="6B61AF09" w:rsidR="009C7333">
              <w:rPr>
                <w:sz w:val="21"/>
                <w:szCs w:val="21"/>
                <w:lang w:val="en-GB"/>
              </w:rPr>
              <w:t>oderated)</w:t>
            </w:r>
          </w:p>
          <w:p w:rsidRPr="00722EC8" w:rsidR="005240E6" w:rsidP="6B61AF09" w:rsidRDefault="002500E5" w14:paraId="04233BC0" w14:textId="2F91B22D">
            <w:pPr>
              <w:pStyle w:val="Normal"/>
              <w:jc w:val="both"/>
              <w:rPr>
                <w:sz w:val="21"/>
                <w:szCs w:val="21"/>
                <w:highlight w:val="yellow"/>
                <w:lang w:val="en-GB"/>
              </w:rPr>
            </w:pPr>
            <w:r w:rsidRPr="6B61AF09" w:rsidR="6B61AF09">
              <w:rPr>
                <w:b w:val="1"/>
                <w:bCs w:val="1"/>
                <w:sz w:val="21"/>
                <w:szCs w:val="21"/>
                <w:lang w:val="en-GB"/>
              </w:rPr>
              <w:t>Unit 16</w:t>
            </w:r>
            <w:r w:rsidRPr="6B61AF09" w:rsidR="6B61AF09">
              <w:rPr>
                <w:sz w:val="21"/>
                <w:szCs w:val="21"/>
                <w:lang w:val="en-GB"/>
              </w:rPr>
              <w:t xml:space="preserve">: </w:t>
            </w:r>
            <w:r w:rsidRPr="6B61AF09" w:rsidR="009C7333">
              <w:rPr>
                <w:sz w:val="21"/>
                <w:szCs w:val="21"/>
                <w:lang w:val="en-GB"/>
              </w:rPr>
              <w:t>Internally assessed coursework tasks</w:t>
            </w:r>
            <w:r w:rsidRPr="6B61AF09" w:rsidR="009C7333">
              <w:rPr>
                <w:sz w:val="21"/>
                <w:szCs w:val="21"/>
                <w:lang w:val="en-GB"/>
              </w:rPr>
              <w:t xml:space="preserve"> (externally </w:t>
            </w:r>
            <w:r w:rsidRPr="6B61AF09" w:rsidR="00310019">
              <w:rPr>
                <w:sz w:val="21"/>
                <w:szCs w:val="21"/>
                <w:lang w:val="en-GB"/>
              </w:rPr>
              <w:t>m</w:t>
            </w:r>
            <w:r w:rsidRPr="6B61AF09" w:rsidR="009C7333">
              <w:rPr>
                <w:sz w:val="21"/>
                <w:szCs w:val="21"/>
                <w:lang w:val="en-GB"/>
              </w:rPr>
              <w:t>oderated)</w:t>
            </w:r>
          </w:p>
        </w:tc>
      </w:tr>
    </w:tbl>
    <w:p w:rsidRPr="00722EC8" w:rsidR="00312C50" w:rsidP="007F029E" w:rsidRDefault="00312C50" w14:paraId="6542BD36" w14:textId="56608F34">
      <w:pPr>
        <w:rPr>
          <w:lang w:val="en-GB"/>
        </w:rPr>
      </w:pPr>
    </w:p>
    <w:sectPr w:rsidRPr="00722EC8" w:rsidR="00312C50" w:rsidSect="007F029E">
      <w:pgSz w:w="11900" w:h="16840" w:orient="portrait"/>
      <w:pgMar w:top="720" w:right="56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5F66"/>
    <w:multiLevelType w:val="hybridMultilevel"/>
    <w:tmpl w:val="0D6C271E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07E9F35"/>
    <w:multiLevelType w:val="hybridMultilevel"/>
    <w:tmpl w:val="6F46BB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A6426E"/>
    <w:multiLevelType w:val="hybridMultilevel"/>
    <w:tmpl w:val="683E78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5F71D6"/>
    <w:multiLevelType w:val="hybridMultilevel"/>
    <w:tmpl w:val="C354FD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740C03"/>
    <w:multiLevelType w:val="hybridMultilevel"/>
    <w:tmpl w:val="ED08E55E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CB27F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6" w15:restartNumberingAfterBreak="0">
    <w:nsid w:val="1E223123"/>
    <w:multiLevelType w:val="hybridMultilevel"/>
    <w:tmpl w:val="9A30C2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E4F6C82"/>
    <w:multiLevelType w:val="hybridMultilevel"/>
    <w:tmpl w:val="881046E8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2D60343"/>
    <w:multiLevelType w:val="hybridMultilevel"/>
    <w:tmpl w:val="9DCAD5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7377640"/>
    <w:multiLevelType w:val="hybridMultilevel"/>
    <w:tmpl w:val="ADEE29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BF26A65"/>
    <w:multiLevelType w:val="hybridMultilevel"/>
    <w:tmpl w:val="FF4825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D657D8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14" w15:restartNumberingAfterBreak="0">
    <w:nsid w:val="45A45A71"/>
    <w:multiLevelType w:val="hybridMultilevel"/>
    <w:tmpl w:val="F676D5EE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8825B69"/>
    <w:multiLevelType w:val="hybridMultilevel"/>
    <w:tmpl w:val="E1EE217E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3E77D89"/>
    <w:multiLevelType w:val="hybridMultilevel"/>
    <w:tmpl w:val="C95C5FE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B797B44"/>
    <w:multiLevelType w:val="hybridMultilevel"/>
    <w:tmpl w:val="723E2B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C8779ED"/>
    <w:multiLevelType w:val="hybridMultilevel"/>
    <w:tmpl w:val="85D24ACA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E0000D2"/>
    <w:multiLevelType w:val="multilevel"/>
    <w:tmpl w:val="908491EA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21" w15:restartNumberingAfterBreak="0">
    <w:nsid w:val="5E140298"/>
    <w:multiLevelType w:val="hybridMultilevel"/>
    <w:tmpl w:val="3A6838A8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3642E07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23" w15:restartNumberingAfterBreak="0">
    <w:nsid w:val="6E2A09A2"/>
    <w:multiLevelType w:val="multilevel"/>
    <w:tmpl w:val="8DA6A94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24" w15:restartNumberingAfterBreak="0">
    <w:nsid w:val="701D6152"/>
    <w:multiLevelType w:val="hybridMultilevel"/>
    <w:tmpl w:val="A646629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4621833"/>
    <w:multiLevelType w:val="hybridMultilevel"/>
    <w:tmpl w:val="3DE4D8FA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8"/>
  </w:num>
  <w:num w:numId="3">
    <w:abstractNumId w:val="20"/>
  </w:num>
  <w:num w:numId="4">
    <w:abstractNumId w:val="23"/>
  </w:num>
  <w:num w:numId="5">
    <w:abstractNumId w:val="5"/>
  </w:num>
  <w:num w:numId="6">
    <w:abstractNumId w:val="22"/>
  </w:num>
  <w:num w:numId="7">
    <w:abstractNumId w:val="13"/>
  </w:num>
  <w:num w:numId="8">
    <w:abstractNumId w:val="18"/>
  </w:num>
  <w:num w:numId="9">
    <w:abstractNumId w:val="25"/>
  </w:num>
  <w:num w:numId="10">
    <w:abstractNumId w:val="2"/>
  </w:num>
  <w:num w:numId="11">
    <w:abstractNumId w:val="17"/>
  </w:num>
  <w:num w:numId="12">
    <w:abstractNumId w:val="9"/>
  </w:num>
  <w:num w:numId="13">
    <w:abstractNumId w:val="12"/>
  </w:num>
  <w:num w:numId="14">
    <w:abstractNumId w:val="10"/>
  </w:num>
  <w:num w:numId="15">
    <w:abstractNumId w:val="11"/>
  </w:num>
  <w:num w:numId="16">
    <w:abstractNumId w:val="6"/>
  </w:num>
  <w:num w:numId="17">
    <w:abstractNumId w:val="4"/>
  </w:num>
  <w:num w:numId="18">
    <w:abstractNumId w:val="19"/>
  </w:num>
  <w:num w:numId="19">
    <w:abstractNumId w:val="24"/>
  </w:num>
  <w:num w:numId="20">
    <w:abstractNumId w:val="14"/>
  </w:num>
  <w:num w:numId="21">
    <w:abstractNumId w:val="21"/>
  </w:num>
  <w:num w:numId="22">
    <w:abstractNumId w:val="7"/>
  </w:num>
  <w:num w:numId="23">
    <w:abstractNumId w:val="1"/>
  </w:num>
  <w:num w:numId="24">
    <w:abstractNumId w:val="26"/>
  </w:num>
  <w:num w:numId="25">
    <w:abstractNumId w:val="0"/>
  </w:num>
  <w:num w:numId="26">
    <w:abstractNumId w:val="1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50"/>
    <w:rsid w:val="0000546E"/>
    <w:rsid w:val="000143CA"/>
    <w:rsid w:val="000368B9"/>
    <w:rsid w:val="0007733D"/>
    <w:rsid w:val="000C3865"/>
    <w:rsid w:val="001000DD"/>
    <w:rsid w:val="00122AA1"/>
    <w:rsid w:val="0016245A"/>
    <w:rsid w:val="00166FEB"/>
    <w:rsid w:val="001936A5"/>
    <w:rsid w:val="001A2BA4"/>
    <w:rsid w:val="001A3F1B"/>
    <w:rsid w:val="001A4CA9"/>
    <w:rsid w:val="001B27D4"/>
    <w:rsid w:val="001C5F99"/>
    <w:rsid w:val="001E5A98"/>
    <w:rsid w:val="00226561"/>
    <w:rsid w:val="002500E5"/>
    <w:rsid w:val="00253B80"/>
    <w:rsid w:val="00255136"/>
    <w:rsid w:val="002E3DD3"/>
    <w:rsid w:val="00310019"/>
    <w:rsid w:val="00312C50"/>
    <w:rsid w:val="0031774A"/>
    <w:rsid w:val="00320DDF"/>
    <w:rsid w:val="003330B1"/>
    <w:rsid w:val="00341A93"/>
    <w:rsid w:val="003465A2"/>
    <w:rsid w:val="0036256D"/>
    <w:rsid w:val="00373102"/>
    <w:rsid w:val="003871AE"/>
    <w:rsid w:val="003B1C40"/>
    <w:rsid w:val="003B3BDC"/>
    <w:rsid w:val="003C6F1F"/>
    <w:rsid w:val="003F13A5"/>
    <w:rsid w:val="003F25B4"/>
    <w:rsid w:val="003F5527"/>
    <w:rsid w:val="00401BEE"/>
    <w:rsid w:val="004124B4"/>
    <w:rsid w:val="004643CB"/>
    <w:rsid w:val="004A05A9"/>
    <w:rsid w:val="004C6C5E"/>
    <w:rsid w:val="004F3865"/>
    <w:rsid w:val="004F3C65"/>
    <w:rsid w:val="005028FD"/>
    <w:rsid w:val="00517A4C"/>
    <w:rsid w:val="005240E6"/>
    <w:rsid w:val="005361D4"/>
    <w:rsid w:val="0054237E"/>
    <w:rsid w:val="00552635"/>
    <w:rsid w:val="00573BF2"/>
    <w:rsid w:val="005E4F76"/>
    <w:rsid w:val="005F5BFF"/>
    <w:rsid w:val="00610158"/>
    <w:rsid w:val="006133FF"/>
    <w:rsid w:val="00613502"/>
    <w:rsid w:val="00664176"/>
    <w:rsid w:val="006B6F74"/>
    <w:rsid w:val="006B7BD1"/>
    <w:rsid w:val="006D6156"/>
    <w:rsid w:val="006E589C"/>
    <w:rsid w:val="006E5B6C"/>
    <w:rsid w:val="00716D54"/>
    <w:rsid w:val="00717220"/>
    <w:rsid w:val="00722EC8"/>
    <w:rsid w:val="0072605F"/>
    <w:rsid w:val="00756BD8"/>
    <w:rsid w:val="007677E9"/>
    <w:rsid w:val="00770230"/>
    <w:rsid w:val="007860DE"/>
    <w:rsid w:val="00792234"/>
    <w:rsid w:val="007B04C0"/>
    <w:rsid w:val="007B1995"/>
    <w:rsid w:val="007F029E"/>
    <w:rsid w:val="00822276"/>
    <w:rsid w:val="008315F1"/>
    <w:rsid w:val="008A700F"/>
    <w:rsid w:val="008B11E6"/>
    <w:rsid w:val="008F472A"/>
    <w:rsid w:val="009218EA"/>
    <w:rsid w:val="00970470"/>
    <w:rsid w:val="009C7333"/>
    <w:rsid w:val="009E5B0A"/>
    <w:rsid w:val="009F4EE7"/>
    <w:rsid w:val="00A662DB"/>
    <w:rsid w:val="00A67CC5"/>
    <w:rsid w:val="00A762D6"/>
    <w:rsid w:val="00AA005C"/>
    <w:rsid w:val="00AA6386"/>
    <w:rsid w:val="00AB16D0"/>
    <w:rsid w:val="00AB1D14"/>
    <w:rsid w:val="00AC1394"/>
    <w:rsid w:val="00AE137E"/>
    <w:rsid w:val="00AE7ACC"/>
    <w:rsid w:val="00B027D2"/>
    <w:rsid w:val="00B16942"/>
    <w:rsid w:val="00B2123C"/>
    <w:rsid w:val="00B45D97"/>
    <w:rsid w:val="00B878E7"/>
    <w:rsid w:val="00BA2324"/>
    <w:rsid w:val="00BE6914"/>
    <w:rsid w:val="00C0559C"/>
    <w:rsid w:val="00C21D1A"/>
    <w:rsid w:val="00C358F8"/>
    <w:rsid w:val="00C54401"/>
    <w:rsid w:val="00C619E1"/>
    <w:rsid w:val="00C63204"/>
    <w:rsid w:val="00C72A78"/>
    <w:rsid w:val="00CF578F"/>
    <w:rsid w:val="00D06802"/>
    <w:rsid w:val="00D239EE"/>
    <w:rsid w:val="00D41C18"/>
    <w:rsid w:val="00D55327"/>
    <w:rsid w:val="00D57FF3"/>
    <w:rsid w:val="00DA718B"/>
    <w:rsid w:val="00DC5ADF"/>
    <w:rsid w:val="00DF5028"/>
    <w:rsid w:val="00EF66B5"/>
    <w:rsid w:val="00F1604C"/>
    <w:rsid w:val="00F30C8B"/>
    <w:rsid w:val="00F564A7"/>
    <w:rsid w:val="00F56CCA"/>
    <w:rsid w:val="00F62155"/>
    <w:rsid w:val="00F809D2"/>
    <w:rsid w:val="00F95822"/>
    <w:rsid w:val="00FC1E1B"/>
    <w:rsid w:val="00FD1AA6"/>
    <w:rsid w:val="00FD3C7B"/>
    <w:rsid w:val="1D3F80E0"/>
    <w:rsid w:val="3B090FAB"/>
    <w:rsid w:val="4C12F668"/>
    <w:rsid w:val="5F68A87A"/>
    <w:rsid w:val="6B61A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37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05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17220"/>
    <w:pPr>
      <w:ind w:left="720"/>
      <w:contextualSpacing/>
    </w:pPr>
  </w:style>
  <w:style w:type="paragraph" w:styleId="Default" w:customStyle="1">
    <w:name w:val="Default"/>
    <w:rsid w:val="00320DDF"/>
    <w:pPr>
      <w:autoSpaceDE w:val="0"/>
      <w:autoSpaceDN w:val="0"/>
      <w:adjustRightInd w:val="0"/>
    </w:pPr>
    <w:rPr>
      <w:rFonts w:ascii="Calibri" w:hAnsi="Calibri" w:cs="Calibri"/>
      <w:color w:val="000000"/>
      <w:lang w:val="en-GB"/>
    </w:rPr>
  </w:style>
  <w:style w:type="character" w:styleId="normaltextrun" w:customStyle="1">
    <w:name w:val="normaltextrun"/>
    <w:basedOn w:val="DefaultParagraphFont"/>
    <w:rsid w:val="00716D54"/>
  </w:style>
  <w:style w:type="character" w:styleId="eop" w:customStyle="1">
    <w:name w:val="eop"/>
    <w:basedOn w:val="DefaultParagraphFont"/>
    <w:rsid w:val="00716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610346-84F1-48BC-9333-012C5D270B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61821D-5754-4B1E-8A86-84DACA51E9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7BDFDE-8E12-4280-9428-FBE50ECEBA4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 Mary's Catholic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McKeating</dc:creator>
  <cp:keywords/>
  <dc:description/>
  <cp:lastModifiedBy>Holmes, Lee</cp:lastModifiedBy>
  <cp:revision>15</cp:revision>
  <cp:lastPrinted>2019-11-03T11:53:00Z</cp:lastPrinted>
  <dcterms:created xsi:type="dcterms:W3CDTF">2022-01-06T11:00:00Z</dcterms:created>
  <dcterms:modified xsi:type="dcterms:W3CDTF">2022-06-27T11:12:49Z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