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2A68299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5E46E066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2B5EC2">
        <w:rPr>
          <w:b/>
          <w:color w:val="00B0F0"/>
          <w:sz w:val="21"/>
          <w:szCs w:val="21"/>
          <w:lang w:val="en-GB"/>
        </w:rPr>
        <w:t>12A</w:t>
      </w:r>
      <w:r w:rsidR="00EF4743">
        <w:rPr>
          <w:b/>
          <w:color w:val="00B0F0"/>
          <w:sz w:val="21"/>
          <w:szCs w:val="21"/>
          <w:lang w:val="en-GB"/>
        </w:rPr>
        <w:t xml:space="preserve"> (Double </w:t>
      </w:r>
      <w:r w:rsidR="001A3F1B">
        <w:rPr>
          <w:b/>
          <w:color w:val="00B0F0"/>
          <w:sz w:val="21"/>
          <w:szCs w:val="21"/>
          <w:lang w:val="en-GB"/>
        </w:rPr>
        <w:t>award)</w:t>
      </w:r>
    </w:p>
    <w:p w14:paraId="3DD93397" w14:textId="07BA990D" w:rsidR="00770230" w:rsidRPr="00573BF2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906F35">
        <w:rPr>
          <w:b/>
          <w:color w:val="00B0F0"/>
          <w:sz w:val="21"/>
          <w:szCs w:val="21"/>
          <w:lang w:val="en-GB"/>
        </w:rPr>
        <w:t>2</w:t>
      </w:r>
      <w:r w:rsidR="005361D4">
        <w:rPr>
          <w:b/>
          <w:color w:val="00B0F0"/>
          <w:sz w:val="21"/>
          <w:szCs w:val="21"/>
          <w:lang w:val="en-GB"/>
        </w:rPr>
        <w:t xml:space="preserve"> </w:t>
      </w:r>
      <w:r w:rsidR="005361D4" w:rsidRPr="005361D4">
        <w:rPr>
          <w:b/>
          <w:color w:val="00B0F0"/>
          <w:sz w:val="21"/>
          <w:szCs w:val="21"/>
          <w:lang w:val="en-GB"/>
        </w:rPr>
        <w:t>(</w:t>
      </w:r>
      <w:r w:rsidR="00906F35">
        <w:rPr>
          <w:b/>
          <w:color w:val="00B0F0"/>
          <w:sz w:val="21"/>
          <w:szCs w:val="21"/>
          <w:lang w:val="en-GB"/>
        </w:rPr>
        <w:t>Jan-Easter)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60A90E34" w14:textId="63C84F21" w:rsidR="0083191A" w:rsidRDefault="0083191A" w:rsidP="0083191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At the beginning of the term students will prepare for the unit 2 external exam.</w:t>
            </w:r>
          </w:p>
          <w:p w14:paraId="16909B3A" w14:textId="2CD3BE08" w:rsidR="004055CB" w:rsidRPr="0083191A" w:rsidRDefault="004055CB" w:rsidP="0083191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Students will also complete unit 4 (coursework)</w:t>
            </w:r>
          </w:p>
          <w:p w14:paraId="40168F44" w14:textId="196E07E5" w:rsidR="005028FD" w:rsidRDefault="0083191A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</w:t>
            </w:r>
            <w:r w:rsidR="00813790">
              <w:rPr>
                <w:sz w:val="22"/>
                <w:szCs w:val="21"/>
                <w:lang w:val="en-GB"/>
              </w:rPr>
              <w:t>be working throug</w:t>
            </w:r>
            <w:r w:rsidR="004055CB">
              <w:rPr>
                <w:sz w:val="22"/>
                <w:szCs w:val="21"/>
                <w:lang w:val="en-GB"/>
              </w:rPr>
              <w:t>h 4</w:t>
            </w:r>
            <w:r w:rsidR="009D40B7">
              <w:rPr>
                <w:sz w:val="22"/>
                <w:szCs w:val="21"/>
                <w:lang w:val="en-GB"/>
              </w:rPr>
              <w:t xml:space="preserve"> </w:t>
            </w:r>
            <w:r w:rsidR="008B11E6">
              <w:rPr>
                <w:sz w:val="22"/>
                <w:szCs w:val="21"/>
                <w:lang w:val="en-GB"/>
              </w:rPr>
              <w:t>units t</w:t>
            </w:r>
            <w:r w:rsidR="00813790">
              <w:rPr>
                <w:sz w:val="22"/>
                <w:szCs w:val="21"/>
                <w:lang w:val="en-GB"/>
              </w:rPr>
              <w:t>his term (Unit 1</w:t>
            </w:r>
            <w:r w:rsidR="004055CB">
              <w:rPr>
                <w:sz w:val="22"/>
                <w:szCs w:val="21"/>
                <w:lang w:val="en-GB"/>
              </w:rPr>
              <w:t>, 2, 4</w:t>
            </w:r>
            <w:r w:rsidR="00813790">
              <w:rPr>
                <w:sz w:val="22"/>
                <w:szCs w:val="21"/>
                <w:lang w:val="en-GB"/>
              </w:rPr>
              <w:t xml:space="preserve"> and unit 5</w:t>
            </w:r>
            <w:r w:rsidR="008B11E6">
              <w:rPr>
                <w:sz w:val="22"/>
                <w:szCs w:val="21"/>
                <w:lang w:val="en-GB"/>
              </w:rPr>
              <w:t>)</w:t>
            </w:r>
          </w:p>
          <w:p w14:paraId="019EF28F" w14:textId="3BDF57DC" w:rsidR="008B11E6" w:rsidRPr="0083191A" w:rsidRDefault="0083191A" w:rsidP="0083191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Students will </w:t>
            </w:r>
            <w:r w:rsidR="009D40B7">
              <w:rPr>
                <w:sz w:val="22"/>
                <w:szCs w:val="21"/>
                <w:lang w:val="en-GB"/>
              </w:rPr>
              <w:t xml:space="preserve">continue unit 1 </w:t>
            </w:r>
            <w:r>
              <w:rPr>
                <w:sz w:val="22"/>
                <w:szCs w:val="21"/>
                <w:lang w:val="en-GB"/>
              </w:rPr>
              <w:t>finish</w:t>
            </w:r>
            <w:r w:rsidR="009D40B7">
              <w:rPr>
                <w:sz w:val="22"/>
                <w:szCs w:val="21"/>
                <w:lang w:val="en-GB"/>
              </w:rPr>
              <w:t xml:space="preserve">ing </w:t>
            </w:r>
            <w:r>
              <w:rPr>
                <w:sz w:val="22"/>
                <w:szCs w:val="21"/>
                <w:lang w:val="en-GB"/>
              </w:rPr>
              <w:t xml:space="preserve"> 4</w:t>
            </w:r>
            <w:r w:rsidR="009D40B7">
              <w:rPr>
                <w:sz w:val="22"/>
                <w:szCs w:val="21"/>
                <w:lang w:val="en-GB"/>
              </w:rPr>
              <w:t xml:space="preserve"> LOB’s of (starting with t</w:t>
            </w:r>
            <w:r>
              <w:rPr>
                <w:sz w:val="22"/>
                <w:szCs w:val="21"/>
                <w:lang w:val="en-GB"/>
              </w:rPr>
              <w:t>he 3</w:t>
            </w:r>
            <w:r w:rsidRPr="009D40B7">
              <w:rPr>
                <w:sz w:val="22"/>
                <w:szCs w:val="21"/>
                <w:vertAlign w:val="superscript"/>
                <w:lang w:val="en-GB"/>
              </w:rPr>
              <w:t>rd</w:t>
            </w:r>
            <w:r w:rsidR="009D40B7">
              <w:rPr>
                <w:sz w:val="22"/>
                <w:szCs w:val="21"/>
                <w:lang w:val="en-GB"/>
              </w:rPr>
              <w:t>)</w:t>
            </w:r>
          </w:p>
          <w:p w14:paraId="19C23ED5" w14:textId="362401F7" w:rsidR="00EF4743" w:rsidRPr="005028FD" w:rsidRDefault="00EF4743" w:rsidP="0081379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S</w:t>
            </w:r>
            <w:r w:rsidR="00112059">
              <w:rPr>
                <w:sz w:val="22"/>
                <w:szCs w:val="21"/>
                <w:lang w:val="en-GB"/>
              </w:rPr>
              <w:t>tudents will start unit 7</w:t>
            </w:r>
            <w:r w:rsidR="00813790">
              <w:rPr>
                <w:sz w:val="22"/>
                <w:szCs w:val="21"/>
                <w:lang w:val="en-GB"/>
              </w:rPr>
              <w:t>.</w:t>
            </w: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569D2BB9" w14:textId="5F02E3A9" w:rsidR="00107E46" w:rsidRDefault="00107E46" w:rsidP="001B27D4">
            <w:pPr>
              <w:pStyle w:val="ListParagraph"/>
              <w:numPr>
                <w:ilvl w:val="0"/>
                <w:numId w:val="18"/>
              </w:numPr>
              <w:rPr>
                <w:rStyle w:val="normaltextrun"/>
                <w:sz w:val="21"/>
                <w:szCs w:val="21"/>
                <w:lang w:val="en-GB"/>
              </w:rPr>
            </w:pPr>
            <w:r>
              <w:rPr>
                <w:rStyle w:val="normaltextrun"/>
                <w:sz w:val="21"/>
                <w:szCs w:val="21"/>
                <w:lang w:val="en-GB"/>
              </w:rPr>
              <w:t>Unit 1: Stakeholders, capital, profit, costs, statement, conflict, political, economics, inflation, interest, legislation, social, ethics.</w:t>
            </w:r>
          </w:p>
          <w:p w14:paraId="30878C56" w14:textId="395D55BD" w:rsidR="00F809D2" w:rsidRPr="00107E46" w:rsidRDefault="00107E46" w:rsidP="00107E46">
            <w:pPr>
              <w:pStyle w:val="ListParagraph"/>
              <w:rPr>
                <w:sz w:val="21"/>
                <w:szCs w:val="21"/>
                <w:lang w:val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Unit 4&amp;5</w:t>
            </w:r>
            <w:r w:rsidR="0046464B" w:rsidRPr="00107E46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: Marketing, market research, strategy, marketing mix, objectives. Functional areas, internal and external factors.</w:t>
            </w:r>
            <w:r w:rsidR="0046464B" w:rsidRPr="00107E46">
              <w:rPr>
                <w:rStyle w:val="eop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5F5B40EB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</w:t>
            </w:r>
            <w:r w:rsidR="00112059">
              <w:rPr>
                <w:b/>
                <w:sz w:val="21"/>
                <w:szCs w:val="21"/>
                <w:lang w:val="en-GB"/>
              </w:rPr>
              <w:t xml:space="preserve"> (other coursework units completed within single award lessons)</w:t>
            </w:r>
            <w:r w:rsidR="004A05A9">
              <w:rPr>
                <w:b/>
                <w:sz w:val="21"/>
                <w:szCs w:val="21"/>
                <w:lang w:val="en-GB"/>
              </w:rPr>
              <w:t>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462A607C" w14:textId="0EEACC10" w:rsidR="001E5A98" w:rsidRPr="001E5A98" w:rsidRDefault="001E5A98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GB"/>
              </w:rPr>
              <w:t xml:space="preserve">This is the first term of the vocational single award (5 units). </w:t>
            </w:r>
          </w:p>
          <w:p w14:paraId="60A347DE" w14:textId="24CFA72C" w:rsidR="001E5A98" w:rsidRPr="001E5A98" w:rsidRDefault="001E5A98" w:rsidP="001E5A9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1</w:t>
            </w:r>
            <w:r>
              <w:rPr>
                <w:sz w:val="21"/>
                <w:szCs w:val="21"/>
                <w:lang w:val="en-GB"/>
              </w:rPr>
              <w:t xml:space="preserve">: This is a double unit and has 8 LOBS’s. Students have to pass this unit in order to complete the course. Students have 3 </w:t>
            </w:r>
            <w:r w:rsidR="0000546E">
              <w:rPr>
                <w:sz w:val="21"/>
                <w:szCs w:val="21"/>
                <w:lang w:val="en-GB"/>
              </w:rPr>
              <w:t>attempts (if required)</w:t>
            </w:r>
            <w:r>
              <w:rPr>
                <w:sz w:val="21"/>
                <w:szCs w:val="21"/>
                <w:lang w:val="en-GB"/>
              </w:rPr>
              <w:t xml:space="preserve"> to </w:t>
            </w:r>
            <w:r w:rsidR="00A762D6">
              <w:rPr>
                <w:sz w:val="21"/>
                <w:szCs w:val="21"/>
                <w:lang w:val="en-GB"/>
              </w:rPr>
              <w:t>pass the exam. The unit is set up to comp</w:t>
            </w:r>
            <w:r w:rsidR="004055CB">
              <w:rPr>
                <w:sz w:val="21"/>
                <w:szCs w:val="21"/>
                <w:lang w:val="en-GB"/>
              </w:rPr>
              <w:t>lete LOB 1 first through to LO8 and students will complete LO4-7 this term.</w:t>
            </w:r>
          </w:p>
          <w:p w14:paraId="0EFB32ED" w14:textId="0BA56960" w:rsidR="001E5A98" w:rsidRPr="00D520B9" w:rsidRDefault="001E5A98" w:rsidP="0000546E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0546E">
              <w:rPr>
                <w:b/>
                <w:sz w:val="21"/>
                <w:szCs w:val="21"/>
                <w:lang w:val="en-GB"/>
              </w:rPr>
              <w:t>Unit 2:</w:t>
            </w:r>
            <w:r w:rsidR="004055CB">
              <w:rPr>
                <w:sz w:val="21"/>
                <w:szCs w:val="21"/>
                <w:lang w:val="en-GB"/>
              </w:rPr>
              <w:t xml:space="preserve"> Week 1&amp; 2 prepare for external exam 2</w:t>
            </w:r>
            <w:r w:rsidR="004055CB" w:rsidRPr="004055CB">
              <w:rPr>
                <w:sz w:val="21"/>
                <w:szCs w:val="21"/>
                <w:vertAlign w:val="superscript"/>
                <w:lang w:val="en-GB"/>
              </w:rPr>
              <w:t>nd</w:t>
            </w:r>
            <w:r w:rsidR="004055CB">
              <w:rPr>
                <w:sz w:val="21"/>
                <w:szCs w:val="21"/>
                <w:lang w:val="en-GB"/>
              </w:rPr>
              <w:t xml:space="preserve"> week in January.</w:t>
            </w:r>
          </w:p>
          <w:p w14:paraId="18E21D7C" w14:textId="77777777" w:rsidR="00D520B9" w:rsidRPr="00CA1318" w:rsidRDefault="00D520B9" w:rsidP="0000546E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en-GB"/>
              </w:rPr>
              <w:t>Unit 4:</w:t>
            </w:r>
            <w:r>
              <w:rPr>
                <w:sz w:val="20"/>
                <w:szCs w:val="20"/>
              </w:rPr>
              <w:t xml:space="preserve"> </w:t>
            </w:r>
            <w:r w:rsidRPr="00E7450D">
              <w:rPr>
                <w:sz w:val="22"/>
                <w:szCs w:val="20"/>
              </w:rPr>
              <w:t xml:space="preserve">Mandatory unit for the double award. This unit is also one of the few linked to </w:t>
            </w:r>
            <w:r w:rsidR="00E7450D">
              <w:rPr>
                <w:sz w:val="22"/>
                <w:szCs w:val="20"/>
              </w:rPr>
              <w:t>the single award qualification so it is beneficial to have these running fairly close together across the 2 groups.</w:t>
            </w:r>
            <w:r w:rsidR="00CA1318">
              <w:rPr>
                <w:sz w:val="22"/>
                <w:szCs w:val="20"/>
              </w:rPr>
              <w:t xml:space="preserve"> Students started this unit last term and will need to finish the remaining tasks.</w:t>
            </w:r>
          </w:p>
          <w:p w14:paraId="27C56A2D" w14:textId="4C121E76" w:rsidR="00CA1318" w:rsidRPr="00112059" w:rsidRDefault="00112059" w:rsidP="0000546E">
            <w:pPr>
              <w:pStyle w:val="ListParagraph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112059">
              <w:rPr>
                <w:b/>
                <w:sz w:val="20"/>
                <w:szCs w:val="20"/>
              </w:rPr>
              <w:t>Unit 7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112059">
              <w:rPr>
                <w:sz w:val="20"/>
                <w:szCs w:val="20"/>
              </w:rPr>
              <w:t>Mandatory coursework unit.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B2123C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="00AA005C" w:rsidRPr="00B2123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FD3C7B" w:rsidRPr="007B04C0" w14:paraId="05734B6B" w14:textId="77777777" w:rsidTr="00FD3C7B">
        <w:tc>
          <w:tcPr>
            <w:tcW w:w="10774" w:type="dxa"/>
            <w:shd w:val="clear" w:color="auto" w:fill="auto"/>
          </w:tcPr>
          <w:p w14:paraId="2A23C520" w14:textId="5F7DEFD7" w:rsidR="0046464B" w:rsidRDefault="005240E6" w:rsidP="00D75153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46464B">
              <w:rPr>
                <w:b/>
                <w:sz w:val="21"/>
                <w:szCs w:val="21"/>
                <w:lang w:val="en-GB"/>
              </w:rPr>
              <w:t xml:space="preserve">Unit 1: </w:t>
            </w:r>
            <w:r w:rsidR="00A76224" w:rsidRPr="00A76224">
              <w:rPr>
                <w:sz w:val="21"/>
                <w:szCs w:val="21"/>
                <w:lang w:val="en-GB"/>
              </w:rPr>
              <w:t xml:space="preserve">Remaining LO’s </w:t>
            </w:r>
            <w:r w:rsidR="00A76224">
              <w:rPr>
                <w:b/>
                <w:sz w:val="21"/>
                <w:szCs w:val="21"/>
                <w:lang w:val="en-GB"/>
              </w:rPr>
              <w:t xml:space="preserve">- </w:t>
            </w:r>
            <w:r w:rsidR="00A76224" w:rsidRPr="009C7333">
              <w:rPr>
                <w:sz w:val="21"/>
                <w:szCs w:val="21"/>
                <w:lang w:val="en-GB"/>
              </w:rPr>
              <w:t>LO4 (Be able to use financial information), LO5 (Stakeholder relationships), LO6 (The effect of external influences), LO7 (Business plans). - (See Unit guide for full content)</w:t>
            </w:r>
            <w:r w:rsidR="00A76224">
              <w:rPr>
                <w:sz w:val="21"/>
                <w:szCs w:val="21"/>
                <w:lang w:val="en-GB"/>
              </w:rPr>
              <w:t xml:space="preserve">. </w:t>
            </w:r>
            <w:r w:rsidR="0046464B">
              <w:rPr>
                <w:sz w:val="20"/>
                <w:szCs w:val="20"/>
              </w:rPr>
              <w:t>External exam May</w:t>
            </w:r>
            <w:r w:rsidR="00A76224">
              <w:rPr>
                <w:sz w:val="20"/>
                <w:szCs w:val="20"/>
              </w:rPr>
              <w:t>.</w:t>
            </w:r>
          </w:p>
          <w:p w14:paraId="534BB798" w14:textId="30939E11" w:rsidR="00B2123C" w:rsidRPr="0046464B" w:rsidRDefault="0000546E" w:rsidP="00D75153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46464B">
              <w:rPr>
                <w:b/>
                <w:sz w:val="21"/>
                <w:szCs w:val="21"/>
                <w:lang w:val="en-GB"/>
              </w:rPr>
              <w:t>Unit 2</w:t>
            </w:r>
            <w:r w:rsidR="00B2123C" w:rsidRPr="0046464B">
              <w:rPr>
                <w:sz w:val="21"/>
                <w:szCs w:val="21"/>
                <w:lang w:val="en-GB"/>
              </w:rPr>
              <w:t>: Full revision and exam technique in preparation for the exam in January.</w:t>
            </w:r>
          </w:p>
          <w:p w14:paraId="777C8015" w14:textId="536B9DE7" w:rsidR="00537CCA" w:rsidRPr="00A85E05" w:rsidRDefault="00E7450D" w:rsidP="00A85E05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Unit 4</w:t>
            </w:r>
            <w:r w:rsidRPr="00E7450D">
              <w:rPr>
                <w:sz w:val="21"/>
                <w:szCs w:val="21"/>
                <w:lang w:val="en-GB"/>
              </w:rPr>
              <w:t>: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A85E05" w:rsidRPr="00887D67">
              <w:rPr>
                <w:sz w:val="21"/>
                <w:szCs w:val="21"/>
              </w:rPr>
              <w:t>P9: structure a written business communication so that its content and type of communication is appropriate for its audience and purpose, M4: review own use of verbal and written skills when communicating business messages and recommend improvements, D2: justify how to adapt the structure, method of delivery and any other considerations to convey a business message for differing audience requirements.</w:t>
            </w:r>
          </w:p>
          <w:p w14:paraId="52FE6B9D" w14:textId="11EDAC62" w:rsidR="00537CCA" w:rsidRPr="00112059" w:rsidRDefault="00112059" w:rsidP="00112059">
            <w:pPr>
              <w:pStyle w:val="ListParagraph"/>
              <w:numPr>
                <w:ilvl w:val="0"/>
                <w:numId w:val="26"/>
              </w:numPr>
            </w:pPr>
            <w:r w:rsidRPr="00112059">
              <w:rPr>
                <w:rStyle w:val="normaltextrun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Unit 7</w:t>
            </w:r>
            <w:r w:rsidRPr="00112059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  <w:r>
              <w:t xml:space="preserve">P2: Explain how a specific business has applied the marketing mix. </w:t>
            </w:r>
            <w:r w:rsidRPr="00112059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M1: Compare how two contrasting businesses have applied the marketing mix, M2: </w:t>
            </w:r>
            <w:proofErr w:type="spellStart"/>
            <w:r w:rsidRPr="00112059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Analyse</w:t>
            </w:r>
            <w:proofErr w:type="spellEnd"/>
            <w:r w:rsidRPr="00112059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 how two contrasting businesses have used social media to increase brand awareness, </w:t>
            </w:r>
            <w:r>
              <w:t>P3: Describe how a specific business makes use of digital marketing P4: Explain the impact of digital marketing on a specific business and its customers P6: Explain how a specific business has used a digital marketing agency</w:t>
            </w:r>
            <w:bookmarkStart w:id="0" w:name="_GoBack"/>
            <w:bookmarkEnd w:id="0"/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22EC8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22EC8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250936B2" w14:textId="3626735E" w:rsidR="00613502" w:rsidRDefault="009E5B0A" w:rsidP="004F3C65">
            <w:pPr>
              <w:rPr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1:</w:t>
            </w:r>
            <w:r w:rsidRPr="001936A5">
              <w:rPr>
                <w:sz w:val="21"/>
                <w:szCs w:val="21"/>
                <w:lang w:val="en-GB"/>
              </w:rPr>
              <w:t xml:space="preserve"> </w:t>
            </w:r>
            <w:r w:rsidR="00A85E05" w:rsidRPr="009C7333">
              <w:rPr>
                <w:sz w:val="21"/>
                <w:szCs w:val="21"/>
                <w:lang w:val="en-GB"/>
              </w:rPr>
              <w:t>LO4 (Be able to use financial information), LO5 (Stakeholder relationships), LO6 (The effect of external influences), LO7 (Business plans). - (See Unit guide for full content)</w:t>
            </w:r>
            <w:r w:rsidR="00A85E05">
              <w:rPr>
                <w:b/>
                <w:sz w:val="21"/>
                <w:szCs w:val="21"/>
                <w:lang w:val="en-GB"/>
              </w:rPr>
              <w:t xml:space="preserve"> </w:t>
            </w:r>
            <w:r w:rsid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7730EDF1" w14:textId="3594EBBF" w:rsidR="001936A5" w:rsidRDefault="001936A5" w:rsidP="004F3C65">
            <w:pPr>
              <w:rPr>
                <w:b/>
                <w:sz w:val="21"/>
                <w:szCs w:val="21"/>
                <w:lang w:val="en-GB"/>
              </w:rPr>
            </w:pPr>
            <w:r w:rsidRPr="001936A5">
              <w:rPr>
                <w:b/>
                <w:sz w:val="21"/>
                <w:szCs w:val="21"/>
                <w:lang w:val="en-GB"/>
              </w:rPr>
              <w:t>Unit 2:</w:t>
            </w:r>
            <w:r>
              <w:rPr>
                <w:b/>
                <w:sz w:val="21"/>
                <w:szCs w:val="21"/>
                <w:lang w:val="en-GB"/>
              </w:rPr>
              <w:t xml:space="preserve"> </w:t>
            </w:r>
            <w:r w:rsidR="00A85E05">
              <w:rPr>
                <w:sz w:val="21"/>
                <w:szCs w:val="21"/>
                <w:lang w:val="en-GB"/>
              </w:rPr>
              <w:t xml:space="preserve">Full course - </w:t>
            </w:r>
            <w:r w:rsidR="00552635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44F034F7" w14:textId="77777777" w:rsidR="00E7450D" w:rsidRDefault="00E7450D" w:rsidP="004F3C65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Unit 4: </w:t>
            </w:r>
            <w:r w:rsidR="00BA259C"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bdr w:val="none" w:sz="0" w:space="0" w:color="auto" w:frame="1"/>
              </w:rPr>
              <w:t xml:space="preserve">Customer, consumer, culture, overheads, competitive advantage, accessibility, corporate standards, corporate profile, ethics, legislation, corporate standards, confidentiality </w:t>
            </w:r>
            <w:r w:rsidR="00BA259C">
              <w:rPr>
                <w:b/>
                <w:sz w:val="21"/>
                <w:szCs w:val="21"/>
                <w:lang w:val="en-GB"/>
              </w:rPr>
              <w:t>(See Unit guide for full content)</w:t>
            </w:r>
          </w:p>
          <w:p w14:paraId="7134982D" w14:textId="43837DD0" w:rsidR="00BA259C" w:rsidRPr="00112059" w:rsidRDefault="00112059" w:rsidP="00112059"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Unit 7 – </w:t>
            </w:r>
            <w:r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Many terms from unit 1, 5 etc. affiliate marketing, aggregators marketing/comparison websites, search engine marketing (SEM) (e.g. pay per click), search, rank and relevance (e.g. search engine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optimisation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 (SEO), customer feedback - CX, CSAT, NPS Net promoter score), measurement methods (e.g. brand recognition, customer satisfaction, sales – cost of pay per click to the business versus the percentage of people that buy, digital competitive analysis, key performance indicators (KPIs)).</w:t>
            </w:r>
            <w:r>
              <w:rPr>
                <w:rStyle w:val="eop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DC5ADF" w:rsidRDefault="003B1C40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22EC8" w14:paraId="56B7F9FC" w14:textId="77777777" w:rsidTr="007F029E">
        <w:tc>
          <w:tcPr>
            <w:tcW w:w="10774" w:type="dxa"/>
          </w:tcPr>
          <w:p w14:paraId="2E934C44" w14:textId="05CB4BAF" w:rsidR="00722EC8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1</w:t>
            </w:r>
            <w:r w:rsidR="00BA259C">
              <w:rPr>
                <w:sz w:val="21"/>
                <w:szCs w:val="21"/>
                <w:lang w:val="en-GB"/>
              </w:rPr>
              <w:t>: 2</w:t>
            </w:r>
            <w:r>
              <w:rPr>
                <w:sz w:val="21"/>
                <w:szCs w:val="21"/>
                <w:lang w:val="en-GB"/>
              </w:rPr>
              <w:t xml:space="preserve"> LOB tests (based on past paper questions)</w:t>
            </w:r>
          </w:p>
          <w:p w14:paraId="2829EAC9" w14:textId="37510E3B" w:rsidR="005240E6" w:rsidRDefault="005240E6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5240E6">
              <w:rPr>
                <w:b/>
                <w:sz w:val="21"/>
                <w:szCs w:val="21"/>
                <w:lang w:val="en-GB"/>
              </w:rPr>
              <w:t>Unit 2</w:t>
            </w:r>
            <w:r>
              <w:rPr>
                <w:sz w:val="21"/>
                <w:szCs w:val="21"/>
                <w:lang w:val="en-GB"/>
              </w:rPr>
              <w:t xml:space="preserve">: </w:t>
            </w:r>
            <w:r w:rsidR="00BA259C">
              <w:rPr>
                <w:sz w:val="21"/>
                <w:szCs w:val="21"/>
                <w:lang w:val="en-GB"/>
              </w:rPr>
              <w:t>External exam</w:t>
            </w:r>
          </w:p>
          <w:p w14:paraId="6F1C6CCD" w14:textId="77777777" w:rsidR="001425F9" w:rsidRDefault="001425F9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1425F9">
              <w:rPr>
                <w:b/>
                <w:sz w:val="21"/>
                <w:szCs w:val="21"/>
                <w:lang w:val="en-GB"/>
              </w:rPr>
              <w:t xml:space="preserve">Unit 4: </w:t>
            </w:r>
            <w:r>
              <w:rPr>
                <w:sz w:val="21"/>
                <w:szCs w:val="21"/>
                <w:lang w:val="en-GB"/>
              </w:rPr>
              <w:t>I</w:t>
            </w:r>
            <w:r w:rsidR="00BA259C">
              <w:rPr>
                <w:sz w:val="21"/>
                <w:szCs w:val="21"/>
                <w:lang w:val="en-GB"/>
              </w:rPr>
              <w:t>nternally assessed tasks.</w:t>
            </w:r>
          </w:p>
          <w:p w14:paraId="04233BC0" w14:textId="5E045449" w:rsidR="00BA259C" w:rsidRPr="00722EC8" w:rsidRDefault="00BA259C" w:rsidP="004F3C65">
            <w:pPr>
              <w:jc w:val="both"/>
              <w:rPr>
                <w:sz w:val="21"/>
                <w:szCs w:val="21"/>
                <w:highlight w:val="yellow"/>
                <w:lang w:val="en-GB"/>
              </w:rPr>
            </w:pPr>
            <w:r w:rsidRPr="00BA259C">
              <w:rPr>
                <w:b/>
                <w:sz w:val="21"/>
                <w:szCs w:val="21"/>
                <w:lang w:val="en-GB"/>
              </w:rPr>
              <w:t>Unit 5</w:t>
            </w:r>
            <w:r>
              <w:rPr>
                <w:sz w:val="21"/>
                <w:szCs w:val="21"/>
                <w:lang w:val="en-GB"/>
              </w:rPr>
              <w:t>: Internally assessed tasks.</w:t>
            </w:r>
          </w:p>
        </w:tc>
      </w:tr>
    </w:tbl>
    <w:p w14:paraId="6542BD36" w14:textId="56608F34" w:rsidR="00312C50" w:rsidRPr="00722EC8" w:rsidRDefault="00312C50" w:rsidP="007F029E">
      <w:pPr>
        <w:rPr>
          <w:lang w:val="en-GB"/>
        </w:rPr>
      </w:pPr>
    </w:p>
    <w:sectPr w:rsidR="00312C50" w:rsidRPr="00722EC8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B69"/>
    <w:multiLevelType w:val="hybridMultilevel"/>
    <w:tmpl w:val="9C3408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77D89"/>
    <w:multiLevelType w:val="hybridMultilevel"/>
    <w:tmpl w:val="C95C5F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3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25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7"/>
  </w:num>
  <w:num w:numId="23">
    <w:abstractNumId w:val="1"/>
  </w:num>
  <w:num w:numId="24">
    <w:abstractNumId w:val="26"/>
  </w:num>
  <w:num w:numId="25">
    <w:abstractNumId w:val="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546E"/>
    <w:rsid w:val="000368B9"/>
    <w:rsid w:val="0007733D"/>
    <w:rsid w:val="000C3865"/>
    <w:rsid w:val="001000DD"/>
    <w:rsid w:val="00107E46"/>
    <w:rsid w:val="00112059"/>
    <w:rsid w:val="00122AA1"/>
    <w:rsid w:val="001425F9"/>
    <w:rsid w:val="0016245A"/>
    <w:rsid w:val="00166FEB"/>
    <w:rsid w:val="001936A5"/>
    <w:rsid w:val="001A2BA4"/>
    <w:rsid w:val="001A3F1B"/>
    <w:rsid w:val="001A4CA9"/>
    <w:rsid w:val="001B27D4"/>
    <w:rsid w:val="001C5F99"/>
    <w:rsid w:val="001D58B3"/>
    <w:rsid w:val="001E5A98"/>
    <w:rsid w:val="00226561"/>
    <w:rsid w:val="00253B80"/>
    <w:rsid w:val="00255136"/>
    <w:rsid w:val="002B5EC2"/>
    <w:rsid w:val="002E3DD3"/>
    <w:rsid w:val="00312C50"/>
    <w:rsid w:val="0031774A"/>
    <w:rsid w:val="00320DDF"/>
    <w:rsid w:val="003330B1"/>
    <w:rsid w:val="00341A93"/>
    <w:rsid w:val="003465A2"/>
    <w:rsid w:val="0036256D"/>
    <w:rsid w:val="00373102"/>
    <w:rsid w:val="003B1C40"/>
    <w:rsid w:val="003B3BDC"/>
    <w:rsid w:val="003C6F1F"/>
    <w:rsid w:val="003F25B4"/>
    <w:rsid w:val="003F5527"/>
    <w:rsid w:val="00401BEE"/>
    <w:rsid w:val="004055CB"/>
    <w:rsid w:val="004124B4"/>
    <w:rsid w:val="004643CB"/>
    <w:rsid w:val="0046464B"/>
    <w:rsid w:val="004A05A9"/>
    <w:rsid w:val="004C6C5E"/>
    <w:rsid w:val="004F3865"/>
    <w:rsid w:val="004F3C65"/>
    <w:rsid w:val="005028FD"/>
    <w:rsid w:val="00511692"/>
    <w:rsid w:val="005240E6"/>
    <w:rsid w:val="005361D4"/>
    <w:rsid w:val="00537CCA"/>
    <w:rsid w:val="0054237E"/>
    <w:rsid w:val="00552635"/>
    <w:rsid w:val="00573BF2"/>
    <w:rsid w:val="005F5BFF"/>
    <w:rsid w:val="00610158"/>
    <w:rsid w:val="006133FF"/>
    <w:rsid w:val="00613502"/>
    <w:rsid w:val="00664176"/>
    <w:rsid w:val="006B6F74"/>
    <w:rsid w:val="006B7BD1"/>
    <w:rsid w:val="006D6156"/>
    <w:rsid w:val="006E589C"/>
    <w:rsid w:val="006E5B6C"/>
    <w:rsid w:val="00717220"/>
    <w:rsid w:val="00722EC8"/>
    <w:rsid w:val="0072605F"/>
    <w:rsid w:val="00756BD8"/>
    <w:rsid w:val="007677E9"/>
    <w:rsid w:val="00770230"/>
    <w:rsid w:val="007860DE"/>
    <w:rsid w:val="00792234"/>
    <w:rsid w:val="007B04C0"/>
    <w:rsid w:val="007B1995"/>
    <w:rsid w:val="007F029E"/>
    <w:rsid w:val="00813790"/>
    <w:rsid w:val="00822276"/>
    <w:rsid w:val="008315F1"/>
    <w:rsid w:val="0083191A"/>
    <w:rsid w:val="008A700F"/>
    <w:rsid w:val="008B11E6"/>
    <w:rsid w:val="008F472A"/>
    <w:rsid w:val="00906F35"/>
    <w:rsid w:val="009218EA"/>
    <w:rsid w:val="00970470"/>
    <w:rsid w:val="009D40B7"/>
    <w:rsid w:val="009E5B0A"/>
    <w:rsid w:val="009F4EE7"/>
    <w:rsid w:val="00A662DB"/>
    <w:rsid w:val="00A76224"/>
    <w:rsid w:val="00A762D6"/>
    <w:rsid w:val="00A85E05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878E7"/>
    <w:rsid w:val="00BA2324"/>
    <w:rsid w:val="00BA259C"/>
    <w:rsid w:val="00BE6914"/>
    <w:rsid w:val="00C0559C"/>
    <w:rsid w:val="00C21D1A"/>
    <w:rsid w:val="00C54401"/>
    <w:rsid w:val="00C619E1"/>
    <w:rsid w:val="00C63204"/>
    <w:rsid w:val="00C72A78"/>
    <w:rsid w:val="00CA1318"/>
    <w:rsid w:val="00CF578F"/>
    <w:rsid w:val="00D06802"/>
    <w:rsid w:val="00D0755C"/>
    <w:rsid w:val="00D239EE"/>
    <w:rsid w:val="00D41C18"/>
    <w:rsid w:val="00D520B9"/>
    <w:rsid w:val="00D57FF3"/>
    <w:rsid w:val="00DA718B"/>
    <w:rsid w:val="00DC5ADF"/>
    <w:rsid w:val="00DF5028"/>
    <w:rsid w:val="00E2267A"/>
    <w:rsid w:val="00E7450D"/>
    <w:rsid w:val="00EF4743"/>
    <w:rsid w:val="00EF66B5"/>
    <w:rsid w:val="00F1604C"/>
    <w:rsid w:val="00F30C8B"/>
    <w:rsid w:val="00F564A7"/>
    <w:rsid w:val="00F56CCA"/>
    <w:rsid w:val="00F62155"/>
    <w:rsid w:val="00F809D2"/>
    <w:rsid w:val="00F95822"/>
    <w:rsid w:val="00FC1E1B"/>
    <w:rsid w:val="00FD1AA6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character" w:customStyle="1" w:styleId="normaltextrun">
    <w:name w:val="normaltextrun"/>
    <w:basedOn w:val="DefaultParagraphFont"/>
    <w:rsid w:val="0046464B"/>
  </w:style>
  <w:style w:type="character" w:customStyle="1" w:styleId="eop">
    <w:name w:val="eop"/>
    <w:basedOn w:val="DefaultParagraphFont"/>
    <w:rsid w:val="0046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F9B9C-272D-41DC-988C-69FA41C80CB9}">
  <ds:schemaRefs>
    <ds:schemaRef ds:uri="http://schemas.microsoft.com/office/2006/metadata/properties"/>
    <ds:schemaRef ds:uri="http://schemas.microsoft.com/office/infopath/2007/PartnerControls"/>
    <ds:schemaRef ds:uri="070f71ce-64c7-4b17-bb6b-21ebf0c68387"/>
  </ds:schemaRefs>
</ds:datastoreItem>
</file>

<file path=customXml/itemProps2.xml><?xml version="1.0" encoding="utf-8"?>
<ds:datastoreItem xmlns:ds="http://schemas.openxmlformats.org/officeDocument/2006/customXml" ds:itemID="{0B044F56-FADD-4D48-8C4C-5B7CBF29C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1D0A9-A252-4333-8802-719AF7B2B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2</cp:revision>
  <cp:lastPrinted>2019-11-03T11:53:00Z</cp:lastPrinted>
  <dcterms:created xsi:type="dcterms:W3CDTF">2022-06-27T11:09:00Z</dcterms:created>
  <dcterms:modified xsi:type="dcterms:W3CDTF">2022-06-27T11:09:00Z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