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2A68299" w:rsidR="00341A93" w:rsidRDefault="009218EA">
      <w:pPr>
        <w:rPr>
          <w:lang w:val="en-GB"/>
        </w:rPr>
      </w:pPr>
      <w:r>
        <w:rPr>
          <w:lang w:val="en-GB"/>
        </w:rPr>
        <w:t>Department</w:t>
      </w:r>
      <w:r w:rsidR="00AB16D0">
        <w:rPr>
          <w:lang w:val="en-GB"/>
        </w:rPr>
        <w:t xml:space="preserve">: </w:t>
      </w:r>
    </w:p>
    <w:p w14:paraId="3B5CEA64" w14:textId="77777777" w:rsidR="00D57FF3" w:rsidRDefault="00D57FF3">
      <w:pPr>
        <w:rPr>
          <w:lang w:val="en-GB"/>
        </w:rPr>
      </w:pPr>
    </w:p>
    <w:p w14:paraId="374AD201" w14:textId="5F9C89A9"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73BF2">
        <w:rPr>
          <w:b/>
          <w:color w:val="00B0F0"/>
          <w:sz w:val="21"/>
          <w:szCs w:val="21"/>
          <w:lang w:val="en-GB"/>
        </w:rPr>
        <w:t>10</w:t>
      </w:r>
    </w:p>
    <w:p w14:paraId="30F865AD" w14:textId="71A76BBB" w:rsidR="00AA005C" w:rsidRPr="00573BF2" w:rsidRDefault="00F95822">
      <w:pPr>
        <w:rPr>
          <w:b/>
          <w:color w:val="00B0F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361D4">
        <w:rPr>
          <w:b/>
          <w:color w:val="00B0F0"/>
          <w:sz w:val="21"/>
          <w:szCs w:val="21"/>
          <w:lang w:val="en-GB"/>
        </w:rPr>
        <w:t>T</w:t>
      </w:r>
      <w:r w:rsidR="005361D4" w:rsidRPr="005361D4">
        <w:rPr>
          <w:b/>
          <w:color w:val="00B0F0"/>
          <w:sz w:val="21"/>
          <w:szCs w:val="21"/>
          <w:lang w:val="en-GB"/>
        </w:rPr>
        <w:t xml:space="preserve">erm </w:t>
      </w:r>
      <w:r w:rsidR="005361D4">
        <w:rPr>
          <w:b/>
          <w:color w:val="00B0F0"/>
          <w:sz w:val="21"/>
          <w:szCs w:val="21"/>
          <w:lang w:val="en-GB"/>
        </w:rPr>
        <w:t xml:space="preserve">1 </w:t>
      </w:r>
      <w:r w:rsidR="005361D4" w:rsidRPr="005361D4">
        <w:rPr>
          <w:b/>
          <w:color w:val="00B0F0"/>
          <w:sz w:val="21"/>
          <w:szCs w:val="21"/>
          <w:lang w:val="en-GB"/>
        </w:rPr>
        <w:t>(</w:t>
      </w:r>
      <w:r w:rsidR="005361D4">
        <w:rPr>
          <w:b/>
          <w:color w:val="00B0F0"/>
          <w:sz w:val="21"/>
          <w:szCs w:val="21"/>
          <w:lang w:val="en-GB"/>
        </w:rPr>
        <w:t xml:space="preserve">Sept – Dec) </w:t>
      </w:r>
    </w:p>
    <w:tbl>
      <w:tblPr>
        <w:tblStyle w:val="TableGrid"/>
        <w:tblW w:w="10774" w:type="dxa"/>
        <w:tblInd w:w="-147" w:type="dxa"/>
        <w:tblLook w:val="04A0" w:firstRow="1" w:lastRow="0" w:firstColumn="1" w:lastColumn="0" w:noHBand="0" w:noVBand="1"/>
      </w:tblPr>
      <w:tblGrid>
        <w:gridCol w:w="10774"/>
      </w:tblGrid>
      <w:tr w:rsidR="00AA005C" w:rsidRPr="007B04C0" w14:paraId="69A11376" w14:textId="77777777" w:rsidTr="007F029E">
        <w:tc>
          <w:tcPr>
            <w:tcW w:w="10774"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7F029E">
        <w:tc>
          <w:tcPr>
            <w:tcW w:w="10774" w:type="dxa"/>
          </w:tcPr>
          <w:p w14:paraId="573C0BB4" w14:textId="77777777" w:rsidR="00320DDF" w:rsidRPr="003B3BDC" w:rsidRDefault="00320DDF" w:rsidP="00C54401">
            <w:pPr>
              <w:pStyle w:val="ListParagraph"/>
              <w:numPr>
                <w:ilvl w:val="0"/>
                <w:numId w:val="17"/>
              </w:numPr>
              <w:jc w:val="both"/>
              <w:rPr>
                <w:b/>
                <w:sz w:val="22"/>
                <w:szCs w:val="21"/>
                <w:lang w:val="en-GB"/>
              </w:rPr>
            </w:pPr>
            <w:r w:rsidRPr="003B3BDC">
              <w:rPr>
                <w:sz w:val="22"/>
                <w:szCs w:val="23"/>
              </w:rPr>
              <w:t xml:space="preserve">The Cambridge National in Enterprise and Marketing gives students the practical skills and applied knowledge they will need in business. </w:t>
            </w:r>
          </w:p>
          <w:p w14:paraId="0E509B52" w14:textId="77777777" w:rsidR="00320DDF" w:rsidRPr="003B3BDC" w:rsidRDefault="00320DDF" w:rsidP="00320DDF">
            <w:pPr>
              <w:pStyle w:val="ListParagraph"/>
              <w:numPr>
                <w:ilvl w:val="0"/>
                <w:numId w:val="17"/>
              </w:numPr>
              <w:jc w:val="both"/>
              <w:rPr>
                <w:b/>
                <w:sz w:val="22"/>
                <w:szCs w:val="21"/>
                <w:lang w:val="en-GB"/>
              </w:rPr>
            </w:pPr>
            <w:r w:rsidRPr="003B3BDC">
              <w:rPr>
                <w:sz w:val="22"/>
                <w:szCs w:val="23"/>
              </w:rPr>
              <w:t>Practical elements build on theoretical knowledge so that students can put their learning into practice while also developing valuable transferable skills.</w:t>
            </w:r>
          </w:p>
          <w:p w14:paraId="19C23ED5" w14:textId="6448CA3C" w:rsidR="00320DDF" w:rsidRPr="003B3BDC" w:rsidRDefault="00320DDF" w:rsidP="00320DDF">
            <w:pPr>
              <w:pStyle w:val="ListParagraph"/>
              <w:numPr>
                <w:ilvl w:val="0"/>
                <w:numId w:val="17"/>
              </w:numPr>
              <w:jc w:val="both"/>
              <w:rPr>
                <w:b/>
                <w:sz w:val="22"/>
                <w:szCs w:val="21"/>
                <w:lang w:val="en-GB"/>
              </w:rPr>
            </w:pPr>
            <w:r w:rsidRPr="003B3BDC">
              <w:rPr>
                <w:sz w:val="22"/>
                <w:szCs w:val="22"/>
              </w:rPr>
              <w:t>Learners begin to understand the importance of customers, the need to listen to them and the need to make products to suit their needs. Learners begin to look at key skills needed to run a bu</w:t>
            </w:r>
            <w:r w:rsidR="004A05A9" w:rsidRPr="003B3BDC">
              <w:rPr>
                <w:sz w:val="22"/>
                <w:szCs w:val="22"/>
              </w:rPr>
              <w:t>siness and to develop a product.</w:t>
            </w:r>
          </w:p>
        </w:tc>
      </w:tr>
      <w:tr w:rsidR="007B1995" w:rsidRPr="007B04C0" w14:paraId="07B414B0" w14:textId="77777777" w:rsidTr="007F029E">
        <w:tc>
          <w:tcPr>
            <w:tcW w:w="10774"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7F029E">
        <w:tc>
          <w:tcPr>
            <w:tcW w:w="10774" w:type="dxa"/>
          </w:tcPr>
          <w:p w14:paraId="50A5C082" w14:textId="452047B3" w:rsidR="004F3C65" w:rsidRPr="003B3BDC" w:rsidRDefault="007860DE" w:rsidP="006D6156">
            <w:pPr>
              <w:pStyle w:val="ListParagraph"/>
              <w:numPr>
                <w:ilvl w:val="0"/>
                <w:numId w:val="18"/>
              </w:numPr>
              <w:rPr>
                <w:sz w:val="22"/>
                <w:szCs w:val="21"/>
                <w:lang w:val="en-GB"/>
              </w:rPr>
            </w:pPr>
            <w:r w:rsidRPr="003B3BDC">
              <w:rPr>
                <w:sz w:val="22"/>
                <w:szCs w:val="21"/>
                <w:lang w:val="en-GB"/>
              </w:rPr>
              <w:t>No real prior knowledge necessary within the first few lessons of term one as</w:t>
            </w:r>
            <w:r w:rsidR="00AE137E" w:rsidRPr="003B3BDC">
              <w:rPr>
                <w:sz w:val="22"/>
                <w:szCs w:val="21"/>
                <w:lang w:val="en-GB"/>
              </w:rPr>
              <w:t xml:space="preserve"> for many students</w:t>
            </w:r>
            <w:r w:rsidRPr="003B3BDC">
              <w:rPr>
                <w:sz w:val="22"/>
                <w:szCs w:val="21"/>
                <w:lang w:val="en-GB"/>
              </w:rPr>
              <w:t xml:space="preserve"> this is the very first business/enterpris</w:t>
            </w:r>
            <w:r w:rsidR="00AE137E" w:rsidRPr="003B3BDC">
              <w:rPr>
                <w:sz w:val="22"/>
                <w:szCs w:val="21"/>
                <w:lang w:val="en-GB"/>
              </w:rPr>
              <w:t xml:space="preserve">e lesson students will have had (unless studied in year 9). </w:t>
            </w:r>
            <w:r w:rsidRPr="003B3BDC">
              <w:rPr>
                <w:sz w:val="22"/>
                <w:szCs w:val="21"/>
                <w:lang w:val="en-GB"/>
              </w:rPr>
              <w:t xml:space="preserve"> </w:t>
            </w:r>
          </w:p>
          <w:p w14:paraId="129B8B08" w14:textId="6EF8299D" w:rsidR="004C6C5E" w:rsidRPr="003B3BDC" w:rsidRDefault="004C6C5E" w:rsidP="006D6156">
            <w:pPr>
              <w:pStyle w:val="ListParagraph"/>
              <w:numPr>
                <w:ilvl w:val="0"/>
                <w:numId w:val="18"/>
              </w:numPr>
              <w:rPr>
                <w:sz w:val="22"/>
                <w:szCs w:val="21"/>
                <w:lang w:val="en-GB"/>
              </w:rPr>
            </w:pPr>
            <w:r w:rsidRPr="003B3BDC">
              <w:rPr>
                <w:sz w:val="22"/>
                <w:szCs w:val="21"/>
                <w:lang w:val="en-GB"/>
              </w:rPr>
              <w:t xml:space="preserve">Students should have a basic understanding of key terminology such as: Enterprise, </w:t>
            </w:r>
            <w:r w:rsidR="00C0559C" w:rsidRPr="003B3BDC">
              <w:rPr>
                <w:sz w:val="22"/>
                <w:szCs w:val="21"/>
                <w:lang w:val="en-GB"/>
              </w:rPr>
              <w:t>Entrepreneur, Profit, brand and what it means to reflect, analyse and evaluate.</w:t>
            </w:r>
          </w:p>
          <w:p w14:paraId="30878C56" w14:textId="0C6D62E4" w:rsidR="004C6C5E" w:rsidRPr="00C0559C" w:rsidRDefault="004C6C5E" w:rsidP="00C0559C">
            <w:pPr>
              <w:pStyle w:val="ListParagraph"/>
              <w:numPr>
                <w:ilvl w:val="0"/>
                <w:numId w:val="18"/>
              </w:numPr>
              <w:rPr>
                <w:b/>
                <w:sz w:val="21"/>
                <w:szCs w:val="21"/>
                <w:lang w:val="en-GB"/>
              </w:rPr>
            </w:pPr>
            <w:r w:rsidRPr="003B3BDC">
              <w:rPr>
                <w:sz w:val="22"/>
                <w:szCs w:val="21"/>
                <w:lang w:val="en-GB"/>
              </w:rPr>
              <w:t>Students will have an awareness of the “big brands” in preparation for the branding section.</w:t>
            </w:r>
          </w:p>
        </w:tc>
      </w:tr>
      <w:tr w:rsidR="00AA005C" w:rsidRPr="007B04C0" w14:paraId="079F81EC" w14:textId="77777777" w:rsidTr="007F029E">
        <w:tc>
          <w:tcPr>
            <w:tcW w:w="10774"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7F029E">
        <w:tc>
          <w:tcPr>
            <w:tcW w:w="10774" w:type="dxa"/>
          </w:tcPr>
          <w:p w14:paraId="207CCB31" w14:textId="0A1A15C2" w:rsidR="007B1995" w:rsidRPr="007B04C0" w:rsidRDefault="007B1995" w:rsidP="007B1995">
            <w:pPr>
              <w:rPr>
                <w:b/>
                <w:sz w:val="21"/>
                <w:szCs w:val="21"/>
                <w:lang w:val="en-GB"/>
              </w:rPr>
            </w:pPr>
            <w:r w:rsidRPr="007B04C0">
              <w:rPr>
                <w:b/>
                <w:sz w:val="21"/>
                <w:szCs w:val="21"/>
                <w:lang w:val="en-GB"/>
              </w:rPr>
              <w:t>Rationale for studying this topic</w:t>
            </w:r>
            <w:r w:rsidR="004A05A9">
              <w:rPr>
                <w:b/>
                <w:sz w:val="21"/>
                <w:szCs w:val="21"/>
                <w:lang w:val="en-GB"/>
              </w:rPr>
              <w:t xml:space="preserve"> and timing:</w:t>
            </w:r>
          </w:p>
          <w:p w14:paraId="27C56A2D" w14:textId="4B01DCF4" w:rsidR="00D57FF3" w:rsidRPr="004A05A9" w:rsidRDefault="00AA6386" w:rsidP="004A05A9">
            <w:pPr>
              <w:pStyle w:val="Default"/>
              <w:rPr>
                <w:sz w:val="20"/>
                <w:szCs w:val="20"/>
              </w:rPr>
            </w:pPr>
            <w:r w:rsidRPr="003B3BDC">
              <w:rPr>
                <w:sz w:val="22"/>
                <w:szCs w:val="20"/>
              </w:rPr>
              <w:t>The Cambridge National in Enterprise and Marketing gives students the practical skills and applied knowledge they will need in business. Practical elements build on theoretical knowledge so that students can put their learning into practice while also developing valuable transferable skills.</w:t>
            </w:r>
            <w:r w:rsidRPr="003B3BDC">
              <w:rPr>
                <w:sz w:val="22"/>
                <w:szCs w:val="20"/>
              </w:rPr>
              <w:t xml:space="preserve"> </w:t>
            </w:r>
            <w:r w:rsidR="004A05A9" w:rsidRPr="003B3BDC">
              <w:rPr>
                <w:sz w:val="22"/>
                <w:szCs w:val="20"/>
              </w:rPr>
              <w:t xml:space="preserve">In term 1 students are introduced to </w:t>
            </w:r>
            <w:r w:rsidRPr="003B3BDC">
              <w:rPr>
                <w:b/>
                <w:bCs/>
                <w:sz w:val="22"/>
                <w:szCs w:val="20"/>
              </w:rPr>
              <w:t xml:space="preserve">R064 </w:t>
            </w:r>
            <w:r w:rsidRPr="003B3BDC">
              <w:rPr>
                <w:sz w:val="22"/>
                <w:szCs w:val="20"/>
              </w:rPr>
              <w:t xml:space="preserve">– An externally examined unit that is worth 50% of a learners’ final grade. </w:t>
            </w:r>
            <w:r w:rsidR="004A05A9" w:rsidRPr="003B3BDC">
              <w:rPr>
                <w:sz w:val="22"/>
                <w:szCs w:val="20"/>
              </w:rPr>
              <w:t>Therefore</w:t>
            </w:r>
            <w:r w:rsidR="00610158" w:rsidRPr="003B3BDC">
              <w:rPr>
                <w:sz w:val="22"/>
                <w:szCs w:val="20"/>
              </w:rPr>
              <w:t xml:space="preserve"> it is essential to start with this unit (and logically LO1) in order to prepare students fully for their first external exam in the summer</w:t>
            </w:r>
            <w:r w:rsidR="004A05A9" w:rsidRPr="003B3BDC">
              <w:rPr>
                <w:sz w:val="22"/>
                <w:szCs w:val="20"/>
              </w:rPr>
              <w:t>.</w:t>
            </w:r>
          </w:p>
        </w:tc>
      </w:tr>
      <w:tr w:rsidR="00AA005C" w:rsidRPr="007B04C0" w14:paraId="6BD43A62" w14:textId="77777777" w:rsidTr="007F029E">
        <w:tc>
          <w:tcPr>
            <w:tcW w:w="10774"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7F029E">
        <w:tc>
          <w:tcPr>
            <w:tcW w:w="10774" w:type="dxa"/>
          </w:tcPr>
          <w:p w14:paraId="440BE01E" w14:textId="2D935DDE" w:rsidR="003B3BDC" w:rsidRDefault="003B3BDC" w:rsidP="003B3BDC">
            <w:pPr>
              <w:pStyle w:val="Default"/>
              <w:numPr>
                <w:ilvl w:val="0"/>
                <w:numId w:val="24"/>
              </w:numPr>
              <w:jc w:val="both"/>
              <w:rPr>
                <w:sz w:val="22"/>
                <w:szCs w:val="22"/>
              </w:rPr>
            </w:pPr>
            <w:r>
              <w:rPr>
                <w:sz w:val="22"/>
                <w:szCs w:val="22"/>
              </w:rPr>
              <w:t>Learners discover the ways in which business</w:t>
            </w:r>
            <w:r>
              <w:rPr>
                <w:sz w:val="22"/>
                <w:szCs w:val="22"/>
              </w:rPr>
              <w:t>es</w:t>
            </w:r>
            <w:r>
              <w:rPr>
                <w:sz w:val="22"/>
                <w:szCs w:val="22"/>
              </w:rPr>
              <w:t xml:space="preserve"> target their customers and find out their needs. Learners see the key financial calculations needed to run a small business and how business look at their products and adapt them to increase sales. </w:t>
            </w:r>
          </w:p>
          <w:p w14:paraId="0984E34C" w14:textId="42188FE4" w:rsidR="00DA718B" w:rsidRDefault="00DA718B" w:rsidP="003B3BDC">
            <w:pPr>
              <w:pStyle w:val="Default"/>
              <w:numPr>
                <w:ilvl w:val="0"/>
                <w:numId w:val="24"/>
              </w:numPr>
              <w:jc w:val="both"/>
              <w:rPr>
                <w:sz w:val="22"/>
                <w:szCs w:val="22"/>
              </w:rPr>
            </w:pPr>
            <w:r>
              <w:rPr>
                <w:sz w:val="22"/>
                <w:szCs w:val="22"/>
              </w:rPr>
              <w:t>How business target consumers (Types, benefits) and collect customer feedback.</w:t>
            </w:r>
          </w:p>
          <w:p w14:paraId="7D793D99" w14:textId="01A1D6BB" w:rsidR="00DA718B" w:rsidRDefault="00DA718B" w:rsidP="003B3BDC">
            <w:pPr>
              <w:pStyle w:val="Default"/>
              <w:numPr>
                <w:ilvl w:val="0"/>
                <w:numId w:val="24"/>
              </w:numPr>
              <w:jc w:val="both"/>
              <w:rPr>
                <w:sz w:val="22"/>
                <w:szCs w:val="22"/>
              </w:rPr>
            </w:pPr>
            <w:r>
              <w:rPr>
                <w:sz w:val="22"/>
                <w:szCs w:val="22"/>
              </w:rPr>
              <w:t>How businesses monitor their performance or decide a product is viable (Calculating costs, revenues, profits and break-even).</w:t>
            </w:r>
          </w:p>
          <w:p w14:paraId="38B77E61" w14:textId="420BF356" w:rsidR="00DA718B" w:rsidRDefault="00DA718B" w:rsidP="003B3BDC">
            <w:pPr>
              <w:pStyle w:val="Default"/>
              <w:numPr>
                <w:ilvl w:val="0"/>
                <w:numId w:val="24"/>
              </w:numPr>
              <w:jc w:val="both"/>
              <w:rPr>
                <w:sz w:val="22"/>
                <w:szCs w:val="22"/>
              </w:rPr>
            </w:pPr>
            <w:r>
              <w:rPr>
                <w:sz w:val="22"/>
                <w:szCs w:val="22"/>
              </w:rPr>
              <w:t xml:space="preserve">How businesses ensure products have a chance at being more successful (awareness of product lifecycles, introducing extension strategies, making the product stand out </w:t>
            </w:r>
            <w:proofErr w:type="spellStart"/>
            <w:r>
              <w:rPr>
                <w:sz w:val="22"/>
                <w:szCs w:val="22"/>
              </w:rPr>
              <w:t>etc</w:t>
            </w:r>
            <w:proofErr w:type="spellEnd"/>
            <w:r>
              <w:rPr>
                <w:sz w:val="22"/>
                <w:szCs w:val="22"/>
              </w:rPr>
              <w:t>).</w:t>
            </w:r>
          </w:p>
          <w:p w14:paraId="5F82FB17" w14:textId="6F7D3767" w:rsidR="00AE7ACC" w:rsidRDefault="00AE7ACC" w:rsidP="003B3BDC">
            <w:pPr>
              <w:pStyle w:val="Default"/>
              <w:numPr>
                <w:ilvl w:val="0"/>
                <w:numId w:val="24"/>
              </w:numPr>
              <w:jc w:val="both"/>
              <w:rPr>
                <w:sz w:val="22"/>
                <w:szCs w:val="22"/>
              </w:rPr>
            </w:pPr>
            <w:r>
              <w:rPr>
                <w:sz w:val="22"/>
                <w:szCs w:val="22"/>
              </w:rPr>
              <w:t>All key terminology will be introduced at the beginning of each topic. Topics will be re-enforced by examples and relevant experiences etc. Variety o</w:t>
            </w:r>
            <w:bookmarkStart w:id="0" w:name="_GoBack"/>
            <w:bookmarkEnd w:id="0"/>
            <w:r>
              <w:rPr>
                <w:sz w:val="22"/>
                <w:szCs w:val="22"/>
              </w:rPr>
              <w:t>f differentiated materials offered to support and bridge any gaps.</w:t>
            </w:r>
          </w:p>
          <w:p w14:paraId="6784E8EC" w14:textId="511791E3" w:rsidR="004F3C65" w:rsidRPr="003B3BDC" w:rsidRDefault="003B3BDC" w:rsidP="003B3BDC">
            <w:pPr>
              <w:pStyle w:val="Default"/>
              <w:numPr>
                <w:ilvl w:val="0"/>
                <w:numId w:val="24"/>
              </w:numPr>
              <w:jc w:val="both"/>
              <w:rPr>
                <w:sz w:val="22"/>
                <w:szCs w:val="22"/>
              </w:rPr>
            </w:pPr>
            <w:r w:rsidRPr="003B3BDC">
              <w:rPr>
                <w:sz w:val="22"/>
                <w:szCs w:val="22"/>
              </w:rPr>
              <w:t xml:space="preserve">RO64 (Examination) </w:t>
            </w:r>
            <w:r>
              <w:rPr>
                <w:sz w:val="22"/>
                <w:szCs w:val="22"/>
              </w:rPr>
              <w:t xml:space="preserve">- </w:t>
            </w:r>
            <w:r w:rsidRPr="003B3BDC">
              <w:rPr>
                <w:sz w:val="22"/>
                <w:szCs w:val="22"/>
              </w:rPr>
              <w:t xml:space="preserve">L01, LO2, L03 </w:t>
            </w:r>
            <w:r>
              <w:rPr>
                <w:sz w:val="22"/>
                <w:szCs w:val="22"/>
              </w:rPr>
              <w:t>(Links to RO65 - 25% Coursework</w:t>
            </w:r>
            <w:r w:rsidRPr="003B3BDC">
              <w:rPr>
                <w:sz w:val="22"/>
                <w:szCs w:val="22"/>
              </w:rPr>
              <w:t xml:space="preserve"> Task 1, Task 2, T</w:t>
            </w:r>
            <w:r>
              <w:rPr>
                <w:sz w:val="22"/>
                <w:szCs w:val="22"/>
              </w:rPr>
              <w:t>ask 3)</w:t>
            </w:r>
          </w:p>
        </w:tc>
      </w:tr>
      <w:tr w:rsidR="00AA005C" w:rsidRPr="007B04C0" w14:paraId="5B2CDDBC" w14:textId="77777777" w:rsidTr="007F029E">
        <w:tc>
          <w:tcPr>
            <w:tcW w:w="10774"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F029E">
        <w:trPr>
          <w:trHeight w:val="640"/>
        </w:trPr>
        <w:tc>
          <w:tcPr>
            <w:tcW w:w="10774" w:type="dxa"/>
          </w:tcPr>
          <w:p w14:paraId="6ED39079" w14:textId="21E01E28" w:rsidR="008A700F" w:rsidRDefault="008A700F" w:rsidP="004F3C65">
            <w:pPr>
              <w:rPr>
                <w:sz w:val="21"/>
                <w:szCs w:val="21"/>
                <w:lang w:val="en-GB"/>
              </w:rPr>
            </w:pPr>
            <w:r>
              <w:rPr>
                <w:sz w:val="21"/>
                <w:szCs w:val="21"/>
                <w:lang w:val="en-GB"/>
              </w:rPr>
              <w:t xml:space="preserve">LO1: </w:t>
            </w:r>
            <w:r w:rsidR="007F029E" w:rsidRPr="007F029E">
              <w:rPr>
                <w:sz w:val="21"/>
                <w:szCs w:val="21"/>
                <w:lang w:val="en-GB"/>
              </w:rPr>
              <w:t>Entrepreneur, enterprise,</w:t>
            </w:r>
            <w:r>
              <w:rPr>
                <w:sz w:val="21"/>
                <w:szCs w:val="21"/>
                <w:lang w:val="en-GB"/>
              </w:rPr>
              <w:t xml:space="preserve"> market segmentation, consumer, customer, </w:t>
            </w:r>
          </w:p>
          <w:p w14:paraId="6331BB98" w14:textId="3036721B" w:rsidR="00F95822" w:rsidRDefault="008A700F" w:rsidP="004F3C65">
            <w:pPr>
              <w:rPr>
                <w:sz w:val="21"/>
                <w:szCs w:val="21"/>
                <w:lang w:val="en-GB"/>
              </w:rPr>
            </w:pPr>
            <w:r>
              <w:rPr>
                <w:sz w:val="21"/>
                <w:szCs w:val="21"/>
                <w:lang w:val="en-GB"/>
              </w:rPr>
              <w:t xml:space="preserve">LO2: </w:t>
            </w:r>
            <w:r w:rsidR="00613502">
              <w:rPr>
                <w:sz w:val="21"/>
                <w:szCs w:val="21"/>
                <w:lang w:val="en-GB"/>
              </w:rPr>
              <w:t xml:space="preserve"> revenue, profit, costs, Break even, break-even point.</w:t>
            </w:r>
          </w:p>
          <w:p w14:paraId="09539178" w14:textId="77777777" w:rsidR="008A700F" w:rsidRDefault="008A700F" w:rsidP="004F3C65">
            <w:pPr>
              <w:rPr>
                <w:sz w:val="21"/>
                <w:szCs w:val="21"/>
                <w:lang w:val="en-GB"/>
              </w:rPr>
            </w:pPr>
            <w:r>
              <w:rPr>
                <w:sz w:val="21"/>
                <w:szCs w:val="21"/>
                <w:lang w:val="en-GB"/>
              </w:rPr>
              <w:t xml:space="preserve">LO3: </w:t>
            </w:r>
            <w:r w:rsidR="00613502">
              <w:rPr>
                <w:sz w:val="21"/>
                <w:szCs w:val="21"/>
                <w:lang w:val="en-GB"/>
              </w:rPr>
              <w:t>Product lifecycle, extension strategy, differentiation, development.</w:t>
            </w:r>
          </w:p>
          <w:p w14:paraId="7134982D" w14:textId="57E1693F" w:rsidR="00613502" w:rsidRPr="007F029E" w:rsidRDefault="00613502" w:rsidP="004F3C65">
            <w:pPr>
              <w:rPr>
                <w:sz w:val="21"/>
                <w:szCs w:val="21"/>
                <w:lang w:val="en-GB"/>
              </w:rPr>
            </w:pPr>
            <w:r>
              <w:rPr>
                <w:sz w:val="21"/>
                <w:szCs w:val="21"/>
                <w:lang w:val="en-GB"/>
              </w:rPr>
              <w:t>**Full list of key terms provided in the R064 delivery guide (see pages – 5 to 7)**</w:t>
            </w:r>
          </w:p>
        </w:tc>
      </w:tr>
      <w:tr w:rsidR="00717220" w:rsidRPr="007B04C0" w14:paraId="0BD4097E" w14:textId="77777777" w:rsidTr="007F029E">
        <w:tc>
          <w:tcPr>
            <w:tcW w:w="10774"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7F029E">
        <w:tc>
          <w:tcPr>
            <w:tcW w:w="10774" w:type="dxa"/>
          </w:tcPr>
          <w:p w14:paraId="4616ADCE" w14:textId="4D056C49" w:rsidR="00717220" w:rsidRPr="007F029E" w:rsidRDefault="00C63204" w:rsidP="00C63204">
            <w:pPr>
              <w:jc w:val="both"/>
              <w:rPr>
                <w:sz w:val="21"/>
                <w:szCs w:val="21"/>
                <w:lang w:val="en-GB"/>
              </w:rPr>
            </w:pPr>
            <w:r>
              <w:rPr>
                <w:sz w:val="21"/>
                <w:szCs w:val="21"/>
                <w:lang w:val="en-GB"/>
              </w:rPr>
              <w:t>Students will work through dedicated LOB</w:t>
            </w:r>
            <w:r w:rsidR="007F029E" w:rsidRPr="007F029E">
              <w:rPr>
                <w:sz w:val="21"/>
                <w:szCs w:val="21"/>
                <w:lang w:val="en-GB"/>
              </w:rPr>
              <w:t xml:space="preserve"> booklet and formative feedback will be provided</w:t>
            </w:r>
            <w:r>
              <w:rPr>
                <w:sz w:val="21"/>
                <w:szCs w:val="21"/>
                <w:lang w:val="en-GB"/>
              </w:rPr>
              <w:t xml:space="preserve">. Summative assessment will include past paper questions from previous </w:t>
            </w:r>
            <w:r>
              <w:rPr>
                <w:sz w:val="22"/>
                <w:szCs w:val="22"/>
              </w:rPr>
              <w:t>RO64 papers  each LOB will be tested independently (</w:t>
            </w:r>
            <w:r>
              <w:rPr>
                <w:sz w:val="22"/>
                <w:szCs w:val="22"/>
              </w:rPr>
              <w:t>L</w:t>
            </w:r>
            <w:r>
              <w:rPr>
                <w:sz w:val="22"/>
                <w:szCs w:val="22"/>
              </w:rPr>
              <w:t>O1, LO2 and LO3 tests)</w:t>
            </w:r>
          </w:p>
          <w:p w14:paraId="04233BC0" w14:textId="3E425218" w:rsidR="007F029E" w:rsidRPr="004F3C65" w:rsidRDefault="007F029E" w:rsidP="004F3C65">
            <w:pPr>
              <w:jc w:val="both"/>
              <w:rPr>
                <w:b/>
                <w:sz w:val="21"/>
                <w:szCs w:val="21"/>
                <w:lang w:val="en-GB"/>
              </w:rPr>
            </w:pPr>
          </w:p>
        </w:tc>
      </w:tr>
    </w:tbl>
    <w:p w14:paraId="6542BD36" w14:textId="56608F34" w:rsidR="00312C50" w:rsidRPr="00312C50" w:rsidRDefault="00312C50" w:rsidP="007F029E">
      <w:pPr>
        <w:rPr>
          <w:lang w:val="en-GB"/>
        </w:rPr>
      </w:pPr>
    </w:p>
    <w:sectPr w:rsidR="00312C50" w:rsidRPr="00312C50" w:rsidSect="007F029E">
      <w:pgSz w:w="11900" w:h="16840"/>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9F35"/>
    <w:multiLevelType w:val="hybridMultilevel"/>
    <w:tmpl w:val="6F46BB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F6C82"/>
    <w:multiLevelType w:val="hybridMultilevel"/>
    <w:tmpl w:val="881046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E140298"/>
    <w:multiLevelType w:val="hybridMultilevel"/>
    <w:tmpl w:val="3A6838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21833"/>
    <w:multiLevelType w:val="hybridMultilevel"/>
    <w:tmpl w:val="3DE4D8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7"/>
  </w:num>
  <w:num w:numId="4">
    <w:abstractNumId w:val="20"/>
  </w:num>
  <w:num w:numId="5">
    <w:abstractNumId w:val="4"/>
  </w:num>
  <w:num w:numId="6">
    <w:abstractNumId w:val="19"/>
  </w:num>
  <w:num w:numId="7">
    <w:abstractNumId w:val="12"/>
  </w:num>
  <w:num w:numId="8">
    <w:abstractNumId w:val="15"/>
  </w:num>
  <w:num w:numId="9">
    <w:abstractNumId w:val="22"/>
  </w:num>
  <w:num w:numId="10">
    <w:abstractNumId w:val="1"/>
  </w:num>
  <w:num w:numId="11">
    <w:abstractNumId w:val="14"/>
  </w:num>
  <w:num w:numId="12">
    <w:abstractNumId w:val="8"/>
  </w:num>
  <w:num w:numId="13">
    <w:abstractNumId w:val="11"/>
  </w:num>
  <w:num w:numId="14">
    <w:abstractNumId w:val="9"/>
  </w:num>
  <w:num w:numId="15">
    <w:abstractNumId w:val="10"/>
  </w:num>
  <w:num w:numId="16">
    <w:abstractNumId w:val="5"/>
  </w:num>
  <w:num w:numId="17">
    <w:abstractNumId w:val="3"/>
  </w:num>
  <w:num w:numId="18">
    <w:abstractNumId w:val="16"/>
  </w:num>
  <w:num w:numId="19">
    <w:abstractNumId w:val="21"/>
  </w:num>
  <w:num w:numId="20">
    <w:abstractNumId w:val="13"/>
  </w:num>
  <w:num w:numId="21">
    <w:abstractNumId w:val="18"/>
  </w:num>
  <w:num w:numId="22">
    <w:abstractNumId w:val="6"/>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E3DD3"/>
    <w:rsid w:val="00312C50"/>
    <w:rsid w:val="0031774A"/>
    <w:rsid w:val="00320DDF"/>
    <w:rsid w:val="003330B1"/>
    <w:rsid w:val="00341A93"/>
    <w:rsid w:val="003465A2"/>
    <w:rsid w:val="0036256D"/>
    <w:rsid w:val="00373102"/>
    <w:rsid w:val="003B1C40"/>
    <w:rsid w:val="003B3BDC"/>
    <w:rsid w:val="003F25B4"/>
    <w:rsid w:val="00401BEE"/>
    <w:rsid w:val="004124B4"/>
    <w:rsid w:val="004643CB"/>
    <w:rsid w:val="004A05A9"/>
    <w:rsid w:val="004C6C5E"/>
    <w:rsid w:val="004F3865"/>
    <w:rsid w:val="004F3C65"/>
    <w:rsid w:val="005361D4"/>
    <w:rsid w:val="0054237E"/>
    <w:rsid w:val="00573BF2"/>
    <w:rsid w:val="005F5BFF"/>
    <w:rsid w:val="00610158"/>
    <w:rsid w:val="006133FF"/>
    <w:rsid w:val="00613502"/>
    <w:rsid w:val="00664176"/>
    <w:rsid w:val="006B6F74"/>
    <w:rsid w:val="006B7BD1"/>
    <w:rsid w:val="006D6156"/>
    <w:rsid w:val="006E589C"/>
    <w:rsid w:val="006E5B6C"/>
    <w:rsid w:val="00717220"/>
    <w:rsid w:val="0072605F"/>
    <w:rsid w:val="007677E9"/>
    <w:rsid w:val="007860DE"/>
    <w:rsid w:val="00792234"/>
    <w:rsid w:val="007B04C0"/>
    <w:rsid w:val="007B1995"/>
    <w:rsid w:val="007F029E"/>
    <w:rsid w:val="00822276"/>
    <w:rsid w:val="008315F1"/>
    <w:rsid w:val="008A700F"/>
    <w:rsid w:val="008F472A"/>
    <w:rsid w:val="009218EA"/>
    <w:rsid w:val="00970470"/>
    <w:rsid w:val="009F4EE7"/>
    <w:rsid w:val="00AA005C"/>
    <w:rsid w:val="00AA6386"/>
    <w:rsid w:val="00AB16D0"/>
    <w:rsid w:val="00AC1394"/>
    <w:rsid w:val="00AE137E"/>
    <w:rsid w:val="00AE7ACC"/>
    <w:rsid w:val="00B16942"/>
    <w:rsid w:val="00B45D97"/>
    <w:rsid w:val="00BA2324"/>
    <w:rsid w:val="00C0559C"/>
    <w:rsid w:val="00C21D1A"/>
    <w:rsid w:val="00C54401"/>
    <w:rsid w:val="00C63204"/>
    <w:rsid w:val="00C72A78"/>
    <w:rsid w:val="00CF578F"/>
    <w:rsid w:val="00D06802"/>
    <w:rsid w:val="00D239EE"/>
    <w:rsid w:val="00D41C18"/>
    <w:rsid w:val="00D57FF3"/>
    <w:rsid w:val="00DA718B"/>
    <w:rsid w:val="00DF5028"/>
    <w:rsid w:val="00EF66B5"/>
    <w:rsid w:val="00F1604C"/>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Default">
    <w:name w:val="Default"/>
    <w:rsid w:val="00320DDF"/>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9502F4-92C3-4952-B3C5-0356D643FD45}"/>
</file>

<file path=customXml/itemProps2.xml><?xml version="1.0" encoding="utf-8"?>
<ds:datastoreItem xmlns:ds="http://schemas.openxmlformats.org/officeDocument/2006/customXml" ds:itemID="{FB74D234-4858-42C4-A107-21B8CB60F054}"/>
</file>

<file path=customXml/itemProps3.xml><?xml version="1.0" encoding="utf-8"?>
<ds:datastoreItem xmlns:ds="http://schemas.openxmlformats.org/officeDocument/2006/customXml" ds:itemID="{A57C6698-B0FB-4056-8EE4-BD59441DF22D}"/>
</file>

<file path=docProps/app.xml><?xml version="1.0" encoding="utf-8"?>
<Properties xmlns="http://schemas.openxmlformats.org/officeDocument/2006/extended-properties" xmlns:vt="http://schemas.openxmlformats.org/officeDocument/2006/docPropsVTypes">
  <Template>Normal</Template>
  <TotalTime>40</TotalTime>
  <Pages>1</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Holmes, Lee</cp:lastModifiedBy>
  <cp:revision>12</cp:revision>
  <cp:lastPrinted>2019-11-03T11:53:00Z</cp:lastPrinted>
  <dcterms:created xsi:type="dcterms:W3CDTF">2021-08-22T07:11:00Z</dcterms:created>
  <dcterms:modified xsi:type="dcterms:W3CDTF">2021-08-22T07:50:00Z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