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381439F7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0F744D">
        <w:rPr>
          <w:color w:val="FF0000"/>
          <w:sz w:val="21"/>
          <w:szCs w:val="21"/>
          <w:lang w:val="en-GB"/>
        </w:rPr>
        <w:t>12</w:t>
      </w:r>
      <w:r w:rsidR="001D43C8" w:rsidRPr="00CE6DCA">
        <w:rPr>
          <w:color w:val="FF0000"/>
          <w:sz w:val="21"/>
          <w:szCs w:val="21"/>
          <w:lang w:val="en-GB"/>
        </w:rPr>
        <w:t xml:space="preserve"> FINE ART 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186B3873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>
        <w:rPr>
          <w:sz w:val="21"/>
          <w:szCs w:val="21"/>
          <w:lang w:val="en-GB"/>
        </w:rPr>
        <w:t xml:space="preserve">Achievement </w:t>
      </w:r>
      <w:r w:rsidR="000F744D">
        <w:rPr>
          <w:sz w:val="21"/>
          <w:szCs w:val="21"/>
          <w:lang w:val="en-GB"/>
        </w:rPr>
        <w:t xml:space="preserve">1 September –November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C99DC3" w14:textId="4B46F329" w:rsidR="008D202E" w:rsidRPr="000F744D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7717B">
              <w:rPr>
                <w:sz w:val="21"/>
                <w:szCs w:val="21"/>
                <w:lang w:val="en-GB"/>
              </w:rPr>
              <w:t xml:space="preserve">Students </w:t>
            </w:r>
            <w:r w:rsidR="007B5EFE">
              <w:rPr>
                <w:sz w:val="21"/>
                <w:szCs w:val="21"/>
                <w:lang w:val="en-GB"/>
              </w:rPr>
              <w:t xml:space="preserve">will </w:t>
            </w:r>
            <w:r w:rsidR="000F744D">
              <w:rPr>
                <w:sz w:val="21"/>
                <w:szCs w:val="21"/>
                <w:lang w:val="en-GB"/>
              </w:rPr>
              <w:t xml:space="preserve">are introduced to ALEVEL portfolio expectations with an introductory </w:t>
            </w:r>
            <w:bookmarkStart w:id="0" w:name="_GoBack"/>
            <w:proofErr w:type="gramStart"/>
            <w:r w:rsidR="000F744D" w:rsidRPr="009151DF">
              <w:rPr>
                <w:b/>
                <w:sz w:val="21"/>
                <w:szCs w:val="21"/>
                <w:lang w:val="en-GB"/>
              </w:rPr>
              <w:t>‘ Structures’</w:t>
            </w:r>
            <w:proofErr w:type="gramEnd"/>
            <w:r w:rsidR="000F744D">
              <w:rPr>
                <w:sz w:val="21"/>
                <w:szCs w:val="21"/>
                <w:lang w:val="en-GB"/>
              </w:rPr>
              <w:t xml:space="preserve"> </w:t>
            </w:r>
            <w:bookmarkEnd w:id="0"/>
            <w:r w:rsidR="000F744D">
              <w:rPr>
                <w:sz w:val="21"/>
                <w:szCs w:val="21"/>
                <w:lang w:val="en-GB"/>
              </w:rPr>
              <w:t>theme.</w:t>
            </w:r>
          </w:p>
          <w:p w14:paraId="697B0DE6" w14:textId="7B482764" w:rsidR="000F744D" w:rsidRPr="000F744D" w:rsidRDefault="000F744D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taught elements of sculpture, painting, observational drawing and printmaking and surface textiles techniques &amp; processes exploring ambitious scales. </w:t>
            </w:r>
          </w:p>
          <w:p w14:paraId="30C659EB" w14:textId="3447C16B" w:rsidR="000F744D" w:rsidRPr="001D43C8" w:rsidRDefault="000F744D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gather research and photography work for two different strands of the Structures theme: Organic and Industrial/Architectural. </w:t>
            </w:r>
          </w:p>
          <w:p w14:paraId="19C23ED5" w14:textId="4F7DB102" w:rsidR="004F3C65" w:rsidRPr="0067717B" w:rsidRDefault="00BE0108" w:rsidP="00BE0108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use experimental and development work to create 2 final outcomes for each strand of the title. 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049CB721" w:rsidR="007B1995" w:rsidRPr="00BE0108" w:rsidRDefault="00BE0108" w:rsidP="00BE0108">
            <w:pPr>
              <w:tabs>
                <w:tab w:val="left" w:pos="183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BE0108">
              <w:rPr>
                <w:b/>
                <w:color w:val="000000"/>
                <w:sz w:val="22"/>
                <w:szCs w:val="22"/>
              </w:rPr>
              <w:t>Prior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64AA62EA" w14:textId="1C2A5FC8" w:rsidR="00BE0108" w:rsidRDefault="00BE0108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need to understand how to develop a GCSE project including development and recording skill in order to build upon these skills to </w:t>
            </w:r>
            <w:proofErr w:type="gramStart"/>
            <w:r>
              <w:rPr>
                <w:sz w:val="21"/>
                <w:szCs w:val="21"/>
                <w:lang w:val="en-GB"/>
              </w:rPr>
              <w:t>A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level standard. </w:t>
            </w:r>
          </w:p>
          <w:p w14:paraId="20A92D09" w14:textId="470ABC28" w:rsidR="00BE0108" w:rsidRDefault="00BE0108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have confidence when using painting and drawing techniques to record ideas. </w:t>
            </w:r>
          </w:p>
          <w:p w14:paraId="30878C56" w14:textId="6FC2B86F" w:rsidR="001E436D" w:rsidRPr="00FD48C2" w:rsidRDefault="001E436D" w:rsidP="00BE0108">
            <w:pPr>
              <w:pStyle w:val="ListParagrap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464A4B4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60347129" w14:textId="77777777" w:rsidR="00BE0108" w:rsidRDefault="00BE0108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This project is designed to encourage the Year 12 students to be more explorative with materials, techniques and processes before starting Component 1 (NEA) </w:t>
            </w:r>
          </w:p>
          <w:p w14:paraId="6EF488DA" w14:textId="3632F893" w:rsidR="00BE0108" w:rsidRDefault="00BE0108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two different strands within the Structures theme will be delivered by 2 different </w:t>
            </w:r>
            <w:proofErr w:type="gramStart"/>
            <w:r>
              <w:rPr>
                <w:sz w:val="21"/>
                <w:szCs w:val="21"/>
                <w:lang w:val="en-GB"/>
              </w:rPr>
              <w:t>teachers ,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so students will be able to explore the different processes with rigor and from different perspectives before bring research together. </w:t>
            </w:r>
          </w:p>
          <w:p w14:paraId="5C76F019" w14:textId="67E4DD59" w:rsidR="00BE0108" w:rsidRDefault="00BE0108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project encourages risk taking and experimental work without the pressure of NEA. The title lends itself to a range of different outcomes and different avenues of research. </w:t>
            </w:r>
          </w:p>
          <w:p w14:paraId="42EC5C81" w14:textId="0392338D" w:rsidR="007B1995" w:rsidRPr="00EE4D6F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E4D6F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02FF5D8" w14:textId="77777777" w:rsidR="00FD48C2" w:rsidRPr="00EE4D6F" w:rsidRDefault="00EE4D6F" w:rsidP="001D43C8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This is a project designed to encourage students to take risks with materials and experiments before embarking on Component 1 NEA work. </w:t>
            </w:r>
          </w:p>
          <w:p w14:paraId="27C56A2D" w14:textId="61C93051" w:rsidR="00EE4D6F" w:rsidRPr="00FD48C2" w:rsidRDefault="00EE4D6F" w:rsidP="001D43C8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In recent years Year 12 students have </w:t>
            </w:r>
            <w:proofErr w:type="spellStart"/>
            <w:r>
              <w:rPr>
                <w:sz w:val="21"/>
                <w:szCs w:val="21"/>
                <w:lang w:val="en-GB"/>
              </w:rPr>
              <w:t>began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with similar short activities which have led to exciting and imaginative outcomes.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45EB738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CE6DCA">
              <w:rPr>
                <w:sz w:val="21"/>
                <w:szCs w:val="21"/>
              </w:rPr>
              <w:t xml:space="preserve">a weekly checklist </w:t>
            </w:r>
            <w:r w:rsidR="00EE4D6F">
              <w:rPr>
                <w:sz w:val="21"/>
                <w:szCs w:val="21"/>
              </w:rPr>
              <w:t>to help them manage their time in A Level independent study time.</w:t>
            </w:r>
            <w:r w:rsidR="00CE6DCA">
              <w:rPr>
                <w:sz w:val="21"/>
                <w:szCs w:val="21"/>
              </w:rPr>
              <w:t xml:space="preserve"> </w:t>
            </w:r>
          </w:p>
          <w:p w14:paraId="299AAD87" w14:textId="2E43CCD8" w:rsidR="001D43C8" w:rsidRDefault="001D43C8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adapt students weekly checklists based on individual needs of the students. </w:t>
            </w:r>
          </w:p>
          <w:p w14:paraId="65E1641B" w14:textId="15CD3776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proofErr w:type="gramStart"/>
            <w:r w:rsidR="00CE6DCA">
              <w:rPr>
                <w:sz w:val="21"/>
                <w:szCs w:val="21"/>
              </w:rPr>
              <w:t>A</w:t>
            </w:r>
            <w:proofErr w:type="gramEnd"/>
            <w:r w:rsidR="00EE4D6F">
              <w:rPr>
                <w:sz w:val="21"/>
                <w:szCs w:val="21"/>
              </w:rPr>
              <w:t xml:space="preserve"> </w:t>
            </w:r>
            <w:r w:rsidR="00CE6DCA">
              <w:rPr>
                <w:sz w:val="21"/>
                <w:szCs w:val="21"/>
              </w:rPr>
              <w:t>level</w:t>
            </w:r>
            <w:r w:rsidR="004059E8">
              <w:rPr>
                <w:sz w:val="21"/>
                <w:szCs w:val="21"/>
              </w:rPr>
              <w:t xml:space="preserve">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7CD55F4A" w14:textId="14E75E7D" w:rsidR="00EE4D6F" w:rsidRDefault="00EE4D6F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This cohort have not all explore print making </w:t>
            </w:r>
            <w:r w:rsidR="00347255">
              <w:rPr>
                <w:sz w:val="21"/>
                <w:szCs w:val="21"/>
              </w:rPr>
              <w:t xml:space="preserve">and sculpture during </w:t>
            </w:r>
            <w:r w:rsidR="0099017D">
              <w:rPr>
                <w:sz w:val="21"/>
                <w:szCs w:val="21"/>
              </w:rPr>
              <w:t>GCSE</w:t>
            </w:r>
            <w:r>
              <w:rPr>
                <w:sz w:val="21"/>
                <w:szCs w:val="21"/>
              </w:rPr>
              <w:t xml:space="preserve">. Printing lessons will be designed to build up knowledge and skills from basic simple techniques. </w:t>
            </w:r>
          </w:p>
          <w:p w14:paraId="0B2090B2" w14:textId="27978643" w:rsidR="0099017D" w:rsidRDefault="0099017D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3D materials will be explored in carousel style lessons enabling students to find materials they are most comfortable with. </w:t>
            </w:r>
          </w:p>
          <w:p w14:paraId="6784E8EC" w14:textId="3193EDF7" w:rsidR="004F3C65" w:rsidRPr="00CE6DCA" w:rsidRDefault="004F3C65" w:rsidP="00CE6DCA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4E0DFB1C" w:rsidR="00F95822" w:rsidRPr="000F42AC" w:rsidRDefault="000F42AC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 depth, form, scale, textural, sculptural, detail, 2D and 3D, shadow, highlight,</w:t>
            </w:r>
            <w:r w:rsidR="008654FE">
              <w:rPr>
                <w:sz w:val="21"/>
                <w:szCs w:val="21"/>
                <w:lang w:val="en-GB"/>
              </w:rPr>
              <w:t xml:space="preserve"> mixed media, relief, slip, clay, form, </w:t>
            </w:r>
            <w:r w:rsidR="00E61164">
              <w:rPr>
                <w:sz w:val="21"/>
                <w:szCs w:val="21"/>
                <w:lang w:val="en-GB"/>
              </w:rPr>
              <w:t>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when discussing an artwork and taking steps to apply these elements t</w:t>
            </w:r>
            <w:r w:rsidR="008654FE">
              <w:rPr>
                <w:sz w:val="21"/>
                <w:szCs w:val="21"/>
                <w:lang w:val="en-GB"/>
              </w:rPr>
              <w:t>o their own</w:t>
            </w:r>
            <w:r w:rsidR="0093209E">
              <w:rPr>
                <w:sz w:val="21"/>
                <w:szCs w:val="21"/>
                <w:lang w:val="en-GB"/>
              </w:rPr>
              <w:t xml:space="preserve"> drawings, paintings, ceramics), acrylic, tone, hue,</w:t>
            </w:r>
            <w:r w:rsidR="00730377">
              <w:rPr>
                <w:sz w:val="21"/>
                <w:szCs w:val="21"/>
                <w:lang w:val="en-GB"/>
              </w:rPr>
              <w:t xml:space="preserve"> t</w:t>
            </w:r>
            <w:r w:rsidR="00B07994">
              <w:rPr>
                <w:sz w:val="21"/>
                <w:szCs w:val="21"/>
                <w:lang w:val="en-GB"/>
              </w:rPr>
              <w:t xml:space="preserve">int, collage, etching, monotype, poly block, </w:t>
            </w:r>
            <w:proofErr w:type="spellStart"/>
            <w:r w:rsidR="00B07994">
              <w:rPr>
                <w:sz w:val="21"/>
                <w:szCs w:val="21"/>
                <w:lang w:val="en-GB"/>
              </w:rPr>
              <w:t>coll</w:t>
            </w:r>
            <w:r w:rsidR="0099017D">
              <w:rPr>
                <w:sz w:val="21"/>
                <w:szCs w:val="21"/>
                <w:lang w:val="en-GB"/>
              </w:rPr>
              <w:t>o</w:t>
            </w:r>
            <w:r w:rsidR="004E607A">
              <w:rPr>
                <w:sz w:val="21"/>
                <w:szCs w:val="21"/>
                <w:lang w:val="en-GB"/>
              </w:rPr>
              <w:t>graph</w:t>
            </w:r>
            <w:proofErr w:type="spellEnd"/>
            <w:r w:rsidR="004E607A">
              <w:rPr>
                <w:sz w:val="21"/>
                <w:szCs w:val="21"/>
                <w:lang w:val="en-GB"/>
              </w:rPr>
              <w:t>, dry</w:t>
            </w:r>
            <w:r w:rsidR="00CE6DCA">
              <w:rPr>
                <w:sz w:val="21"/>
                <w:szCs w:val="21"/>
                <w:lang w:val="en-GB"/>
              </w:rPr>
              <w:t xml:space="preserve"> point, printmaking, sculptural. Oil, expressive, photorealism. 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182211FD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</w:t>
            </w:r>
            <w:r w:rsidR="00CE6DCA">
              <w:rPr>
                <w:sz w:val="21"/>
                <w:szCs w:val="21"/>
                <w:lang w:val="en-GB"/>
              </w:rPr>
              <w:t xml:space="preserve"> small group critiques. 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lastRenderedPageBreak/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29339DA1" w:rsidR="004F3C65" w:rsidRPr="000F1078" w:rsidRDefault="000F1078" w:rsidP="0099017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The </w:t>
            </w:r>
            <w:r w:rsidR="0099017D">
              <w:rPr>
                <w:b/>
                <w:sz w:val="21"/>
                <w:szCs w:val="21"/>
                <w:lang w:val="en-GB"/>
              </w:rPr>
              <w:t>finished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</w:t>
            </w:r>
            <w:r w:rsidR="00CE6DCA">
              <w:rPr>
                <w:b/>
                <w:sz w:val="21"/>
                <w:szCs w:val="21"/>
                <w:lang w:val="en-GB"/>
              </w:rPr>
              <w:t>ALEVEL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99017D">
              <w:rPr>
                <w:b/>
                <w:sz w:val="21"/>
                <w:szCs w:val="21"/>
                <w:lang w:val="en-GB"/>
              </w:rPr>
              <w:t xml:space="preserve">. A level will be awarded based on the AS grade boundaries.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E8E2C1AC"/>
    <w:lvl w:ilvl="0" w:tplc="11647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0ED0"/>
    <w:multiLevelType w:val="hybridMultilevel"/>
    <w:tmpl w:val="FDE2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3"/>
  </w:num>
  <w:num w:numId="21">
    <w:abstractNumId w:val="18"/>
  </w:num>
  <w:num w:numId="22">
    <w:abstractNumId w:val="24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0F744D"/>
    <w:rsid w:val="001000DD"/>
    <w:rsid w:val="00122AA1"/>
    <w:rsid w:val="00161E2E"/>
    <w:rsid w:val="00166FEB"/>
    <w:rsid w:val="00190183"/>
    <w:rsid w:val="001A2BA4"/>
    <w:rsid w:val="001C5F99"/>
    <w:rsid w:val="001D3305"/>
    <w:rsid w:val="001D43C8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47255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811D6D"/>
    <w:rsid w:val="00822276"/>
    <w:rsid w:val="008315F1"/>
    <w:rsid w:val="008654FE"/>
    <w:rsid w:val="00894946"/>
    <w:rsid w:val="008D202E"/>
    <w:rsid w:val="008F472A"/>
    <w:rsid w:val="00901AB8"/>
    <w:rsid w:val="009151DF"/>
    <w:rsid w:val="009218EA"/>
    <w:rsid w:val="0093209E"/>
    <w:rsid w:val="00932390"/>
    <w:rsid w:val="00970470"/>
    <w:rsid w:val="0099017D"/>
    <w:rsid w:val="009917B5"/>
    <w:rsid w:val="009F4EE7"/>
    <w:rsid w:val="00AA005C"/>
    <w:rsid w:val="00AB16D0"/>
    <w:rsid w:val="00AC1394"/>
    <w:rsid w:val="00B07994"/>
    <w:rsid w:val="00B16942"/>
    <w:rsid w:val="00B45A6E"/>
    <w:rsid w:val="00B45D97"/>
    <w:rsid w:val="00BA2324"/>
    <w:rsid w:val="00BE0108"/>
    <w:rsid w:val="00C168FA"/>
    <w:rsid w:val="00C72A78"/>
    <w:rsid w:val="00CC1E38"/>
    <w:rsid w:val="00CD5E53"/>
    <w:rsid w:val="00CE6DCA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EE4D6F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61AFE-D63E-4F24-B36D-AF0F4BF1640F}"/>
</file>

<file path=customXml/itemProps2.xml><?xml version="1.0" encoding="utf-8"?>
<ds:datastoreItem xmlns:ds="http://schemas.openxmlformats.org/officeDocument/2006/customXml" ds:itemID="{F6D5C767-F263-4C91-95B2-407F03F72A7B}"/>
</file>

<file path=customXml/itemProps3.xml><?xml version="1.0" encoding="utf-8"?>
<ds:datastoreItem xmlns:ds="http://schemas.openxmlformats.org/officeDocument/2006/customXml" ds:itemID="{DCD7CF7D-2B9E-40D1-B20F-7875FFFA3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4</cp:revision>
  <cp:lastPrinted>2019-11-03T11:53:00Z</cp:lastPrinted>
  <dcterms:created xsi:type="dcterms:W3CDTF">2021-07-05T20:24:00Z</dcterms:created>
  <dcterms:modified xsi:type="dcterms:W3CDTF">2021-07-06T13:05:00Z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