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371B03" w:rsidP="006D6B90">
      <w:pPr>
        <w:jc w:val="center"/>
        <w:rPr>
          <w:b/>
          <w:color w:val="7030A0"/>
          <w:sz w:val="28"/>
          <w:szCs w:val="28"/>
        </w:rPr>
      </w:pPr>
      <w:r w:rsidRPr="00371B03">
        <w:rPr>
          <w:b/>
          <w:color w:val="7030A0"/>
          <w:sz w:val="28"/>
          <w:szCs w:val="28"/>
        </w:rPr>
        <w:t xml:space="preserve">Health and Social Care 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371B03" w:rsidRPr="00371B03">
        <w:rPr>
          <w:i/>
          <w:color w:val="000000" w:themeColor="text1"/>
          <w:sz w:val="24"/>
          <w:szCs w:val="24"/>
        </w:rPr>
        <w:t>health and social care</w:t>
      </w:r>
      <w:r w:rsidRPr="00371B03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A16028" w:rsidRDefault="00A16028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Careers UK</w:t>
            </w:r>
          </w:p>
          <w:p w:rsidR="00A16028" w:rsidRDefault="00A16028" w:rsidP="006B7152">
            <w:pPr>
              <w:rPr>
                <w:sz w:val="20"/>
                <w:szCs w:val="20"/>
              </w:rPr>
            </w:pPr>
          </w:p>
          <w:p w:rsidR="00A16028" w:rsidRDefault="003F661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‘Role of a Health V</w:t>
            </w:r>
            <w:r w:rsidR="00A16028">
              <w:rPr>
                <w:sz w:val="20"/>
                <w:szCs w:val="20"/>
              </w:rPr>
              <w:t>isitor</w:t>
            </w:r>
            <w:r>
              <w:rPr>
                <w:sz w:val="20"/>
                <w:szCs w:val="20"/>
              </w:rPr>
              <w:t>’</w:t>
            </w:r>
            <w:r w:rsidR="00A16028">
              <w:rPr>
                <w:sz w:val="20"/>
                <w:szCs w:val="20"/>
              </w:rPr>
              <w:t>.</w:t>
            </w:r>
          </w:p>
          <w:p w:rsidR="00A16028" w:rsidRDefault="00A16028" w:rsidP="006B7152">
            <w:pPr>
              <w:rPr>
                <w:sz w:val="20"/>
                <w:szCs w:val="20"/>
              </w:rPr>
            </w:pPr>
          </w:p>
          <w:p w:rsidR="00A16028" w:rsidRPr="008544BD" w:rsidRDefault="00A16028" w:rsidP="00A16028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A16028" w:rsidRDefault="00275DBD" w:rsidP="006B7152">
            <w:pPr>
              <w:rPr>
                <w:sz w:val="20"/>
                <w:szCs w:val="20"/>
              </w:rPr>
            </w:pPr>
            <w:hyperlink r:id="rId6" w:history="1">
              <w:r w:rsidR="00A16028" w:rsidRPr="00A16028">
                <w:rPr>
                  <w:color w:val="0000FF"/>
                  <w:u w:val="single"/>
                </w:rPr>
                <w:t>https://www.healthcareers.nhs.uk/explore-roles/public-health/roles-public-health/health-visitor</w:t>
              </w:r>
            </w:hyperlink>
          </w:p>
          <w:p w:rsidR="00A16028" w:rsidRPr="008544BD" w:rsidRDefault="00A16028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A16028" w:rsidRDefault="00A16028" w:rsidP="00A160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clip and read through the ‘real life stories’ on the role of a health visitor.</w:t>
            </w:r>
          </w:p>
          <w:p w:rsidR="009F43F5" w:rsidRDefault="00A16028" w:rsidP="00A1602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through</w:t>
            </w:r>
            <w:r w:rsidR="003F6616">
              <w:rPr>
                <w:sz w:val="20"/>
                <w:szCs w:val="20"/>
              </w:rPr>
              <w:t xml:space="preserve"> and make notes</w:t>
            </w:r>
            <w:r>
              <w:rPr>
                <w:sz w:val="20"/>
                <w:szCs w:val="20"/>
              </w:rPr>
              <w:t xml:space="preserve"> </w:t>
            </w:r>
            <w:r w:rsidR="008F079D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the information about the skills and entry requirements for a health visiting career.</w:t>
            </w:r>
          </w:p>
          <w:p w:rsidR="00A16028" w:rsidRPr="00A16028" w:rsidRDefault="00A16028" w:rsidP="00A160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F43F5" w:rsidRPr="009F4B39" w:rsidRDefault="00214404" w:rsidP="003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your first term you will focus on the roles and responsibilities of health care workers. It is important that you hav</w:t>
            </w:r>
            <w:r w:rsidR="008F079D">
              <w:rPr>
                <w:sz w:val="20"/>
                <w:szCs w:val="20"/>
              </w:rPr>
              <w:t xml:space="preserve">e a good understanding of different job </w:t>
            </w:r>
            <w:r>
              <w:rPr>
                <w:sz w:val="20"/>
                <w:szCs w:val="20"/>
              </w:rPr>
              <w:t>role</w:t>
            </w:r>
            <w:r w:rsidR="008F07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how they can support patients. </w:t>
            </w:r>
          </w:p>
        </w:tc>
      </w:tr>
      <w:tr w:rsidR="009F43F5" w:rsidTr="009F43F5">
        <w:tc>
          <w:tcPr>
            <w:tcW w:w="2187" w:type="dxa"/>
          </w:tcPr>
          <w:p w:rsidR="009F43F5" w:rsidRDefault="003F661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Nursing and Midwifery Council </w:t>
            </w:r>
          </w:p>
          <w:p w:rsidR="003F6616" w:rsidRDefault="003F6616" w:rsidP="006B7152">
            <w:pPr>
              <w:rPr>
                <w:sz w:val="20"/>
                <w:szCs w:val="20"/>
              </w:rPr>
            </w:pPr>
          </w:p>
          <w:p w:rsidR="003F6616" w:rsidRPr="008544BD" w:rsidRDefault="004835B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3F6616">
              <w:rPr>
                <w:sz w:val="20"/>
                <w:szCs w:val="20"/>
              </w:rPr>
              <w:t>Code of Conduct for Nurses and Midwife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2911" w:type="dxa"/>
          </w:tcPr>
          <w:p w:rsidR="009F43F5" w:rsidRPr="008544BD" w:rsidRDefault="00275DBD" w:rsidP="006B7152">
            <w:pPr>
              <w:rPr>
                <w:sz w:val="20"/>
                <w:szCs w:val="20"/>
              </w:rPr>
            </w:pPr>
            <w:hyperlink r:id="rId7" w:history="1">
              <w:r w:rsidR="003F6616" w:rsidRPr="003F6616">
                <w:rPr>
                  <w:color w:val="0000FF"/>
                  <w:u w:val="single"/>
                </w:rPr>
                <w:t>https://www.nmc.org.uk/globalassets/sitedocuments/nmc-publications/nmc-code.pdf</w:t>
              </w:r>
            </w:hyperlink>
          </w:p>
        </w:tc>
        <w:tc>
          <w:tcPr>
            <w:tcW w:w="2898" w:type="dxa"/>
          </w:tcPr>
          <w:p w:rsidR="009F43F5" w:rsidRDefault="008F079D" w:rsidP="003F66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</w:t>
            </w:r>
            <w:r w:rsidR="003F6616">
              <w:rPr>
                <w:sz w:val="20"/>
                <w:szCs w:val="20"/>
              </w:rPr>
              <w:t xml:space="preserve"> code </w:t>
            </w:r>
            <w:r>
              <w:rPr>
                <w:sz w:val="20"/>
                <w:szCs w:val="20"/>
              </w:rPr>
              <w:t xml:space="preserve">of conduct </w:t>
            </w:r>
            <w:r w:rsidR="003F6616">
              <w:rPr>
                <w:sz w:val="20"/>
                <w:szCs w:val="20"/>
              </w:rPr>
              <w:t>and make yourself familiar with the ‘4 P’s’ of professional practice.</w:t>
            </w:r>
          </w:p>
          <w:p w:rsidR="003F6616" w:rsidRPr="003F6616" w:rsidRDefault="003F6616" w:rsidP="003F66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yourself to see if you can remember them. </w:t>
            </w:r>
          </w:p>
        </w:tc>
        <w:tc>
          <w:tcPr>
            <w:tcW w:w="1893" w:type="dxa"/>
          </w:tcPr>
          <w:p w:rsidR="009F43F5" w:rsidRPr="009F4B39" w:rsidRDefault="00214404" w:rsidP="003F6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Y12 you will consider how nurses and midwifes are monitored to make sure they are practising safely. You will learn how they must follow a ‘code of conduct’ whilst undertaking their daily duties. </w:t>
            </w:r>
          </w:p>
        </w:tc>
      </w:tr>
      <w:tr w:rsidR="009F43F5" w:rsidTr="009F43F5">
        <w:tc>
          <w:tcPr>
            <w:tcW w:w="2187" w:type="dxa"/>
          </w:tcPr>
          <w:p w:rsidR="009F43F5" w:rsidRDefault="003F661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Improvement</w:t>
            </w:r>
          </w:p>
          <w:p w:rsidR="003F6616" w:rsidRDefault="003F6616" w:rsidP="006B7152">
            <w:pPr>
              <w:rPr>
                <w:sz w:val="20"/>
                <w:szCs w:val="20"/>
              </w:rPr>
            </w:pPr>
          </w:p>
          <w:p w:rsidR="003F6616" w:rsidRPr="008544BD" w:rsidRDefault="004835B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3F6616">
              <w:rPr>
                <w:sz w:val="20"/>
                <w:szCs w:val="20"/>
              </w:rPr>
              <w:t>Standard Infection Control Policies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2911" w:type="dxa"/>
          </w:tcPr>
          <w:p w:rsidR="009F43F5" w:rsidRPr="008544BD" w:rsidRDefault="00275DBD" w:rsidP="006B7152">
            <w:pPr>
              <w:rPr>
                <w:sz w:val="20"/>
                <w:szCs w:val="20"/>
              </w:rPr>
            </w:pPr>
            <w:hyperlink r:id="rId8" w:history="1">
              <w:r w:rsidR="003F6616" w:rsidRPr="003F6616">
                <w:rPr>
                  <w:color w:val="0000FF"/>
                  <w:u w:val="single"/>
                </w:rPr>
                <w:t>https://improvement.nhs.uk/documents/4957/National_policy_on_hand_hygiene_and_PPE_2.pdf</w:t>
              </w:r>
            </w:hyperlink>
          </w:p>
        </w:tc>
        <w:tc>
          <w:tcPr>
            <w:tcW w:w="2898" w:type="dxa"/>
          </w:tcPr>
          <w:p w:rsidR="009F43F5" w:rsidRDefault="004835B6" w:rsidP="004835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over the policy published by the NHS on how staff should follow standard precautions to prevent the spread of infection.</w:t>
            </w:r>
          </w:p>
          <w:p w:rsidR="004835B6" w:rsidRDefault="004835B6" w:rsidP="004835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make notes on the ‘key moments for handwashing’ that staff should follow. </w:t>
            </w:r>
          </w:p>
          <w:p w:rsidR="004835B6" w:rsidRPr="004835B6" w:rsidRDefault="004835B6" w:rsidP="004835B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F43F5" w:rsidRPr="008544BD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safety is a major aspect of Y12 studies. You will be familiar wi</w:t>
            </w:r>
            <w:r w:rsidR="008F079D">
              <w:rPr>
                <w:sz w:val="20"/>
                <w:szCs w:val="20"/>
              </w:rPr>
              <w:t>th the news about COVID-19 regarding</w:t>
            </w:r>
            <w:r>
              <w:rPr>
                <w:sz w:val="20"/>
                <w:szCs w:val="20"/>
              </w:rPr>
              <w:t xml:space="preserve"> the importance of hand-washing and PPE. This reading task will help you to become familiar with how health settings set </w:t>
            </w:r>
            <w:r w:rsidR="008F079D">
              <w:rPr>
                <w:sz w:val="20"/>
                <w:szCs w:val="20"/>
              </w:rPr>
              <w:t xml:space="preserve">safety </w:t>
            </w:r>
            <w:r>
              <w:rPr>
                <w:sz w:val="20"/>
                <w:szCs w:val="20"/>
              </w:rPr>
              <w:t xml:space="preserve">standards for staff to follow. </w:t>
            </w:r>
          </w:p>
        </w:tc>
      </w:tr>
      <w:tr w:rsidR="009F43F5" w:rsidTr="009F43F5">
        <w:tc>
          <w:tcPr>
            <w:tcW w:w="2187" w:type="dxa"/>
          </w:tcPr>
          <w:p w:rsidR="009F43F5" w:rsidRDefault="004835B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Psychology</w:t>
            </w:r>
          </w:p>
          <w:p w:rsidR="004835B6" w:rsidRDefault="004835B6" w:rsidP="006B7152">
            <w:pPr>
              <w:rPr>
                <w:sz w:val="20"/>
                <w:szCs w:val="20"/>
              </w:rPr>
            </w:pPr>
          </w:p>
          <w:p w:rsidR="004835B6" w:rsidRPr="008544BD" w:rsidRDefault="004835B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‘Jean Piaget’s theory and stages of cognitive development’</w:t>
            </w:r>
          </w:p>
        </w:tc>
        <w:tc>
          <w:tcPr>
            <w:tcW w:w="2911" w:type="dxa"/>
          </w:tcPr>
          <w:p w:rsidR="009F43F5" w:rsidRPr="008544BD" w:rsidRDefault="00275DBD" w:rsidP="006B7152">
            <w:pPr>
              <w:rPr>
                <w:sz w:val="20"/>
                <w:szCs w:val="20"/>
              </w:rPr>
            </w:pPr>
            <w:hyperlink r:id="rId9" w:history="1">
              <w:r w:rsidR="004835B6" w:rsidRPr="004835B6">
                <w:rPr>
                  <w:color w:val="0000FF"/>
                  <w:u w:val="single"/>
                </w:rPr>
                <w:t>https://www.simplypsychology.org/piaget.html</w:t>
              </w:r>
            </w:hyperlink>
          </w:p>
        </w:tc>
        <w:tc>
          <w:tcPr>
            <w:tcW w:w="2898" w:type="dxa"/>
          </w:tcPr>
          <w:p w:rsidR="009F43F5" w:rsidRDefault="004835B6" w:rsidP="004835B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video clips and r</w:t>
            </w:r>
            <w:r w:rsidR="00970FF7">
              <w:rPr>
                <w:sz w:val="20"/>
                <w:szCs w:val="20"/>
              </w:rPr>
              <w:t xml:space="preserve">ead through the overview of Piaget’s </w:t>
            </w:r>
            <w:r>
              <w:rPr>
                <w:sz w:val="20"/>
                <w:szCs w:val="20"/>
              </w:rPr>
              <w:t xml:space="preserve">theory. </w:t>
            </w:r>
          </w:p>
          <w:p w:rsidR="00970FF7" w:rsidRDefault="00970FF7" w:rsidP="004835B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Make notes on the four stages of cognitive development.</w:t>
            </w:r>
          </w:p>
          <w:p w:rsidR="00970FF7" w:rsidRPr="00970FF7" w:rsidRDefault="00970FF7" w:rsidP="00970FF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0FF7">
              <w:rPr>
                <w:sz w:val="20"/>
                <w:szCs w:val="20"/>
              </w:rPr>
              <w:t>Sensorimotor</w:t>
            </w:r>
          </w:p>
          <w:p w:rsidR="00970FF7" w:rsidRPr="00970FF7" w:rsidRDefault="00970FF7" w:rsidP="00970FF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0FF7">
              <w:rPr>
                <w:sz w:val="20"/>
                <w:szCs w:val="20"/>
              </w:rPr>
              <w:t>Preoperational</w:t>
            </w:r>
          </w:p>
          <w:p w:rsidR="00970FF7" w:rsidRPr="00970FF7" w:rsidRDefault="00970FF7" w:rsidP="00970FF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0FF7">
              <w:rPr>
                <w:sz w:val="20"/>
                <w:szCs w:val="20"/>
              </w:rPr>
              <w:t>Concrete operational</w:t>
            </w:r>
          </w:p>
          <w:p w:rsidR="00970FF7" w:rsidRPr="00970FF7" w:rsidRDefault="00970FF7" w:rsidP="00970FF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0FF7">
              <w:rPr>
                <w:sz w:val="20"/>
                <w:szCs w:val="20"/>
              </w:rPr>
              <w:t>Formal operational</w:t>
            </w:r>
          </w:p>
        </w:tc>
        <w:tc>
          <w:tcPr>
            <w:tcW w:w="1893" w:type="dxa"/>
          </w:tcPr>
          <w:p w:rsidR="009F43F5" w:rsidRPr="008544BD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Unit 1 we focus very heavily on theories of how individuals develop. </w:t>
            </w:r>
            <w:r>
              <w:rPr>
                <w:sz w:val="20"/>
                <w:szCs w:val="20"/>
              </w:rPr>
              <w:lastRenderedPageBreak/>
              <w:t xml:space="preserve">One of the main theorists is Jean Piaget’ who helps us to understand how children learn and the various stages they pass through. </w:t>
            </w:r>
          </w:p>
        </w:tc>
      </w:tr>
      <w:tr w:rsidR="009F43F5" w:rsidTr="009F43F5">
        <w:tc>
          <w:tcPr>
            <w:tcW w:w="2187" w:type="dxa"/>
          </w:tcPr>
          <w:p w:rsidR="009F43F5" w:rsidRDefault="00970FF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Marie Curie UK</w:t>
            </w:r>
          </w:p>
          <w:p w:rsidR="00970FF7" w:rsidRDefault="00970FF7" w:rsidP="006B7152">
            <w:pPr>
              <w:rPr>
                <w:sz w:val="20"/>
                <w:szCs w:val="20"/>
              </w:rPr>
            </w:pPr>
          </w:p>
          <w:p w:rsidR="00970FF7" w:rsidRDefault="00970FF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‘Nursing Services’</w:t>
            </w:r>
          </w:p>
          <w:p w:rsidR="00970FF7" w:rsidRPr="008544BD" w:rsidRDefault="00970FF7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8544BD" w:rsidRDefault="00275DBD" w:rsidP="006B7152">
            <w:pPr>
              <w:rPr>
                <w:sz w:val="20"/>
                <w:szCs w:val="20"/>
              </w:rPr>
            </w:pPr>
            <w:hyperlink r:id="rId10" w:history="1">
              <w:r w:rsidR="00970FF7" w:rsidRPr="000235DE">
                <w:rPr>
                  <w:rStyle w:val="Hyperlink"/>
                  <w:sz w:val="20"/>
                  <w:szCs w:val="20"/>
                </w:rPr>
                <w:t>https://www.mariecurie.org.uk/professionals/patient-services/nursing</w:t>
              </w:r>
            </w:hyperlink>
          </w:p>
          <w:p w:rsidR="00970FF7" w:rsidRPr="008544BD" w:rsidRDefault="00970FF7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Default="00970FF7" w:rsidP="00970F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through what Marie Curie </w:t>
            </w:r>
            <w:r w:rsidR="008F079D">
              <w:rPr>
                <w:sz w:val="20"/>
                <w:szCs w:val="20"/>
              </w:rPr>
              <w:t xml:space="preserve">Organisation </w:t>
            </w:r>
            <w:r>
              <w:rPr>
                <w:sz w:val="20"/>
                <w:szCs w:val="20"/>
              </w:rPr>
              <w:t>can offer patients through their nursing services.</w:t>
            </w:r>
          </w:p>
          <w:p w:rsidR="00970FF7" w:rsidRDefault="00970FF7" w:rsidP="00970F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different settings that</w:t>
            </w:r>
            <w:r w:rsidR="008F079D">
              <w:rPr>
                <w:sz w:val="20"/>
                <w:szCs w:val="20"/>
              </w:rPr>
              <w:t xml:space="preserve"> the nurses </w:t>
            </w:r>
            <w:r>
              <w:rPr>
                <w:sz w:val="20"/>
                <w:szCs w:val="20"/>
              </w:rPr>
              <w:t>work in.</w:t>
            </w:r>
          </w:p>
          <w:p w:rsidR="00970FF7" w:rsidRPr="00970FF7" w:rsidRDefault="00970FF7" w:rsidP="00970FF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this can help the patient and their loved ones. </w:t>
            </w:r>
          </w:p>
        </w:tc>
        <w:tc>
          <w:tcPr>
            <w:tcW w:w="1893" w:type="dxa"/>
          </w:tcPr>
          <w:p w:rsidR="009F43F5" w:rsidRPr="008544BD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important aspect of Unit 2 is to consider how voluntary services support the NHS. Marie Curie is a major voluntary service that supports palliative care patients. It will be good for you to become familiar with they offer. </w:t>
            </w:r>
          </w:p>
        </w:tc>
      </w:tr>
      <w:tr w:rsidR="009F43F5" w:rsidTr="009F43F5">
        <w:tc>
          <w:tcPr>
            <w:tcW w:w="2187" w:type="dxa"/>
          </w:tcPr>
          <w:p w:rsidR="009F43F5" w:rsidRDefault="00970FF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Newcastle Upon Tyne Hospitals</w:t>
            </w:r>
          </w:p>
          <w:p w:rsidR="00970FF7" w:rsidRDefault="00970FF7" w:rsidP="006B7152">
            <w:pPr>
              <w:rPr>
                <w:sz w:val="20"/>
                <w:szCs w:val="20"/>
              </w:rPr>
            </w:pPr>
          </w:p>
          <w:p w:rsidR="00970FF7" w:rsidRPr="00390759" w:rsidRDefault="00970FF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‘Strategy 2019 – 2024’</w:t>
            </w:r>
          </w:p>
        </w:tc>
        <w:tc>
          <w:tcPr>
            <w:tcW w:w="2911" w:type="dxa"/>
          </w:tcPr>
          <w:p w:rsidR="00970FF7" w:rsidRPr="00390759" w:rsidRDefault="00275DBD" w:rsidP="006B7152">
            <w:pPr>
              <w:rPr>
                <w:sz w:val="20"/>
                <w:szCs w:val="20"/>
              </w:rPr>
            </w:pPr>
            <w:hyperlink r:id="rId11" w:history="1">
              <w:r w:rsidR="00970FF7" w:rsidRPr="000235DE">
                <w:rPr>
                  <w:rStyle w:val="Hyperlink"/>
                  <w:sz w:val="20"/>
                  <w:szCs w:val="20"/>
                </w:rPr>
                <w:t>https://www.newcastle-hospitals.org.uk/downloads/About%20us%20pages/FINAL_NHS_Strategy.pdf</w:t>
              </w:r>
            </w:hyperlink>
          </w:p>
        </w:tc>
        <w:tc>
          <w:tcPr>
            <w:tcW w:w="2898" w:type="dxa"/>
          </w:tcPr>
          <w:p w:rsidR="009F43F5" w:rsidRDefault="00970FF7" w:rsidP="00970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Familiarise yourself with the local hospitals plans for delivering care in the future.</w:t>
            </w:r>
          </w:p>
          <w:p w:rsidR="00970FF7" w:rsidRDefault="00970FF7" w:rsidP="00970FF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statistics on </w:t>
            </w:r>
            <w:r w:rsidRPr="008F079D">
              <w:rPr>
                <w:b/>
                <w:sz w:val="20"/>
                <w:szCs w:val="20"/>
              </w:rPr>
              <w:t>page 4</w:t>
            </w:r>
            <w:r>
              <w:rPr>
                <w:sz w:val="20"/>
                <w:szCs w:val="20"/>
              </w:rPr>
              <w:t xml:space="preserve"> about our local hospitals. Does anything surprise you?</w:t>
            </w:r>
          </w:p>
          <w:p w:rsidR="00970FF7" w:rsidRPr="00970FF7" w:rsidRDefault="00970FF7" w:rsidP="00970FF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F43F5" w:rsidRPr="00390759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review how services are structured in the NHS and what they offer patients on a daily basis. This document is a great way to see what our local hospitals offer and the great work they do. </w:t>
            </w:r>
          </w:p>
        </w:tc>
      </w:tr>
      <w:tr w:rsidR="00390759" w:rsidTr="009F43F5">
        <w:tc>
          <w:tcPr>
            <w:tcW w:w="2187" w:type="dxa"/>
          </w:tcPr>
          <w:p w:rsidR="00390759" w:rsidRDefault="003D48E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Well Mind</w:t>
            </w:r>
          </w:p>
          <w:p w:rsidR="003D48EC" w:rsidRDefault="003D48EC" w:rsidP="006B7152">
            <w:pPr>
              <w:rPr>
                <w:sz w:val="20"/>
                <w:szCs w:val="20"/>
              </w:rPr>
            </w:pPr>
          </w:p>
          <w:p w:rsidR="003D48EC" w:rsidRPr="00390759" w:rsidRDefault="003D48E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‘Maslow’s hierarchy of needs’</w:t>
            </w:r>
          </w:p>
        </w:tc>
        <w:tc>
          <w:tcPr>
            <w:tcW w:w="2911" w:type="dxa"/>
          </w:tcPr>
          <w:p w:rsidR="003D48EC" w:rsidRDefault="00275DBD" w:rsidP="006B7152">
            <w:pPr>
              <w:rPr>
                <w:sz w:val="20"/>
                <w:szCs w:val="20"/>
              </w:rPr>
            </w:pPr>
            <w:hyperlink r:id="rId12" w:history="1">
              <w:r w:rsidR="003D48EC" w:rsidRPr="003D48EC">
                <w:rPr>
                  <w:color w:val="0000FF"/>
                  <w:u w:val="single"/>
                </w:rPr>
                <w:t>https://www.verywellmind.com/what-is-maslows-hierarchy-of-needs-4136760</w:t>
              </w:r>
            </w:hyperlink>
          </w:p>
          <w:p w:rsidR="003D48EC" w:rsidRDefault="003D48EC" w:rsidP="006B7152">
            <w:pPr>
              <w:rPr>
                <w:sz w:val="20"/>
                <w:szCs w:val="20"/>
              </w:rPr>
            </w:pPr>
          </w:p>
          <w:p w:rsidR="003D48EC" w:rsidRPr="00390759" w:rsidRDefault="003D48EC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90759" w:rsidRDefault="003D48EC" w:rsidP="003D48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through the overview of Maslow’s theory of human needs.</w:t>
            </w:r>
          </w:p>
          <w:p w:rsidR="003D48EC" w:rsidRPr="003D48EC" w:rsidRDefault="008F079D" w:rsidP="003D48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D48EC">
              <w:rPr>
                <w:sz w:val="20"/>
                <w:szCs w:val="20"/>
              </w:rPr>
              <w:t>hat is your opinion on his theory</w:t>
            </w:r>
            <w:r>
              <w:rPr>
                <w:sz w:val="20"/>
                <w:szCs w:val="20"/>
              </w:rPr>
              <w:t>, do you agree or disagree with his theory</w:t>
            </w:r>
            <w:r w:rsidR="003D48EC">
              <w:rPr>
                <w:sz w:val="20"/>
                <w:szCs w:val="20"/>
              </w:rPr>
              <w:t>?</w:t>
            </w:r>
          </w:p>
        </w:tc>
        <w:tc>
          <w:tcPr>
            <w:tcW w:w="1893" w:type="dxa"/>
          </w:tcPr>
          <w:p w:rsidR="00390759" w:rsidRPr="00390759" w:rsidRDefault="003D48EC" w:rsidP="006B7152">
            <w:pPr>
              <w:rPr>
                <w:sz w:val="20"/>
                <w:szCs w:val="20"/>
              </w:rPr>
            </w:pPr>
            <w:r w:rsidRPr="008F079D">
              <w:rPr>
                <w:i/>
                <w:sz w:val="20"/>
                <w:szCs w:val="20"/>
              </w:rPr>
              <w:t>What motivates us to behave the way we do</w:t>
            </w:r>
            <w:r>
              <w:rPr>
                <w:sz w:val="20"/>
                <w:szCs w:val="20"/>
              </w:rPr>
              <w:t>?</w:t>
            </w:r>
            <w:r w:rsidR="002A751A">
              <w:rPr>
                <w:sz w:val="20"/>
                <w:szCs w:val="20"/>
              </w:rPr>
              <w:t xml:space="preserve"> This will be a focus in some of our studies in Unit 1. Making yourself familiar with the work of Maslow will help you to begin to develop </w:t>
            </w:r>
            <w:r w:rsidR="008F079D">
              <w:rPr>
                <w:sz w:val="20"/>
                <w:szCs w:val="20"/>
              </w:rPr>
              <w:t xml:space="preserve">an </w:t>
            </w:r>
            <w:r w:rsidR="002A751A">
              <w:rPr>
                <w:sz w:val="20"/>
                <w:szCs w:val="20"/>
              </w:rPr>
              <w:t>understanding of</w:t>
            </w:r>
            <w:r w:rsidR="008F079D">
              <w:rPr>
                <w:sz w:val="20"/>
                <w:szCs w:val="20"/>
              </w:rPr>
              <w:t xml:space="preserve"> human behaviours and how they may react when</w:t>
            </w:r>
            <w:r w:rsidR="002A751A">
              <w:rPr>
                <w:sz w:val="20"/>
                <w:szCs w:val="20"/>
              </w:rPr>
              <w:t xml:space="preserve"> accessing health services. </w:t>
            </w:r>
          </w:p>
        </w:tc>
      </w:tr>
      <w:tr w:rsidR="00970FF7" w:rsidTr="009F43F5">
        <w:tc>
          <w:tcPr>
            <w:tcW w:w="2187" w:type="dxa"/>
          </w:tcPr>
          <w:p w:rsidR="00970FF7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UK</w:t>
            </w:r>
          </w:p>
          <w:p w:rsidR="00214404" w:rsidRDefault="00214404" w:rsidP="006B7152">
            <w:pPr>
              <w:rPr>
                <w:sz w:val="20"/>
                <w:szCs w:val="20"/>
              </w:rPr>
            </w:pPr>
          </w:p>
          <w:p w:rsidR="00214404" w:rsidRPr="00390759" w:rsidRDefault="0021440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‘Mid-Staffordshire inquiry’</w:t>
            </w:r>
          </w:p>
        </w:tc>
        <w:tc>
          <w:tcPr>
            <w:tcW w:w="2911" w:type="dxa"/>
          </w:tcPr>
          <w:p w:rsidR="00970FF7" w:rsidRPr="00390759" w:rsidRDefault="00275DBD" w:rsidP="006B7152">
            <w:pPr>
              <w:rPr>
                <w:sz w:val="20"/>
                <w:szCs w:val="20"/>
              </w:rPr>
            </w:pPr>
            <w:hyperlink r:id="rId13" w:history="1">
              <w:r w:rsidR="003D48EC" w:rsidRPr="003D48EC">
                <w:rPr>
                  <w:color w:val="0000FF"/>
                  <w:u w:val="single"/>
                </w:rPr>
                <w:t>https://www.nhs.uk/news/medical-practice/mid-staffs-inquiry-calls-care-failings-a-disaster/</w:t>
              </w:r>
            </w:hyperlink>
          </w:p>
        </w:tc>
        <w:tc>
          <w:tcPr>
            <w:tcW w:w="2898" w:type="dxa"/>
          </w:tcPr>
          <w:p w:rsidR="00970FF7" w:rsidRDefault="00214404" w:rsidP="0021440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over the findings of one of the most damming reports within NHS services.</w:t>
            </w:r>
          </w:p>
          <w:p w:rsidR="00214404" w:rsidRPr="00214404" w:rsidRDefault="00214404" w:rsidP="0021440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970FF7" w:rsidRPr="00390759" w:rsidRDefault="002A751A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Sadly, not all services have provided the best </w:t>
            </w:r>
            <w:r w:rsidR="008F079D">
              <w:rPr>
                <w:sz w:val="20"/>
                <w:szCs w:val="20"/>
              </w:rPr>
              <w:t xml:space="preserve">quality care for patients accessing </w:t>
            </w:r>
            <w:r>
              <w:rPr>
                <w:sz w:val="20"/>
                <w:szCs w:val="20"/>
              </w:rPr>
              <w:t xml:space="preserve">the NHS. During your Y12 studies we will review the impact that poor care has had on patients and the NHS response to it. </w:t>
            </w:r>
          </w:p>
        </w:tc>
      </w:tr>
    </w:tbl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22"/>
    <w:multiLevelType w:val="hybridMultilevel"/>
    <w:tmpl w:val="3D04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ACE"/>
    <w:multiLevelType w:val="hybridMultilevel"/>
    <w:tmpl w:val="EF620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2DA4EEC"/>
    <w:multiLevelType w:val="hybridMultilevel"/>
    <w:tmpl w:val="D3C6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104E"/>
    <w:multiLevelType w:val="hybridMultilevel"/>
    <w:tmpl w:val="84A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530"/>
    <w:multiLevelType w:val="hybridMultilevel"/>
    <w:tmpl w:val="D6C8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7735C"/>
    <w:multiLevelType w:val="hybridMultilevel"/>
    <w:tmpl w:val="C942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2321"/>
    <w:multiLevelType w:val="hybridMultilevel"/>
    <w:tmpl w:val="BE427F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082E"/>
    <w:multiLevelType w:val="hybridMultilevel"/>
    <w:tmpl w:val="0BDE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4126"/>
    <w:multiLevelType w:val="hybridMultilevel"/>
    <w:tmpl w:val="3CF0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0032"/>
    <w:multiLevelType w:val="hybridMultilevel"/>
    <w:tmpl w:val="50A8C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D7D4B"/>
    <w:multiLevelType w:val="hybridMultilevel"/>
    <w:tmpl w:val="1224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62F0"/>
    <w:multiLevelType w:val="hybridMultilevel"/>
    <w:tmpl w:val="C428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14404"/>
    <w:rsid w:val="00227C05"/>
    <w:rsid w:val="00275DBD"/>
    <w:rsid w:val="00281DDE"/>
    <w:rsid w:val="002A751A"/>
    <w:rsid w:val="00371B03"/>
    <w:rsid w:val="00390759"/>
    <w:rsid w:val="003D48EC"/>
    <w:rsid w:val="003D7735"/>
    <w:rsid w:val="003F6616"/>
    <w:rsid w:val="00467C26"/>
    <w:rsid w:val="004835B6"/>
    <w:rsid w:val="00524C79"/>
    <w:rsid w:val="00554A7F"/>
    <w:rsid w:val="006B7152"/>
    <w:rsid w:val="006D6B90"/>
    <w:rsid w:val="00724D2E"/>
    <w:rsid w:val="00766AC2"/>
    <w:rsid w:val="00820E37"/>
    <w:rsid w:val="008544BD"/>
    <w:rsid w:val="00874BD6"/>
    <w:rsid w:val="008D32D3"/>
    <w:rsid w:val="008F079D"/>
    <w:rsid w:val="008F2C0D"/>
    <w:rsid w:val="00970FF7"/>
    <w:rsid w:val="009F43F5"/>
    <w:rsid w:val="009F4B39"/>
    <w:rsid w:val="00A16028"/>
    <w:rsid w:val="00AE2217"/>
    <w:rsid w:val="00B225DC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rovement.nhs.uk/documents/4957/National_policy_on_hand_hygiene_and_PPE_2.pdf" TargetMode="External"/><Relationship Id="rId13" Type="http://schemas.openxmlformats.org/officeDocument/2006/relationships/hyperlink" Target="https://www.nhs.uk/news/medical-practice/mid-staffs-inquiry-calls-care-failings-a-dis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c.org.uk/globalassets/sitedocuments/nmc-publications/nmc-code.pdf" TargetMode="External"/><Relationship Id="rId12" Type="http://schemas.openxmlformats.org/officeDocument/2006/relationships/hyperlink" Target="https://www.verywellmind.com/what-is-maslows-hierarchy-of-needs-4136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ers.nhs.uk/explore-roles/public-health/roles-public-health/health-visitor" TargetMode="External"/><Relationship Id="rId11" Type="http://schemas.openxmlformats.org/officeDocument/2006/relationships/hyperlink" Target="https://www.newcastle-hospitals.org.uk/downloads/About%20us%20pages/FINAL_NHS_Strategy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ariecurie.org.uk/professionals/patient-services/nur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plypsychology.org/piage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2020-07-10T12:21:00Z</dcterms:created>
  <dcterms:modified xsi:type="dcterms:W3CDTF">2020-07-10T12:21:00Z</dcterms:modified>
</cp:coreProperties>
</file>