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B845B" w14:textId="77777777" w:rsidR="006D6B90" w:rsidRPr="00390759" w:rsidRDefault="006D6B90" w:rsidP="00AE2217">
      <w:pPr>
        <w:jc w:val="both"/>
        <w:rPr>
          <w:b/>
        </w:rPr>
      </w:pPr>
      <w:bookmarkStart w:id="0" w:name="_GoBack"/>
      <w:bookmarkEnd w:id="0"/>
      <w:r w:rsidRPr="00390759">
        <w:rPr>
          <w:b/>
          <w:noProof/>
          <w:lang w:eastAsia="en-GB"/>
        </w:rPr>
        <w:drawing>
          <wp:anchor distT="0" distB="0" distL="114300" distR="114300" simplePos="0" relativeHeight="251660288" behindDoc="1" locked="0" layoutInCell="1" allowOverlap="1" wp14:anchorId="7A9F5AB4" wp14:editId="4E67B4E2">
            <wp:simplePos x="0" y="0"/>
            <wp:positionH relativeFrom="column">
              <wp:posOffset>30480</wp:posOffset>
            </wp:positionH>
            <wp:positionV relativeFrom="paragraph">
              <wp:posOffset>0</wp:posOffset>
            </wp:positionV>
            <wp:extent cx="533400" cy="678180"/>
            <wp:effectExtent l="0" t="0" r="0" b="7620"/>
            <wp:wrapTight wrapText="bothSides">
              <wp:wrapPolygon edited="0">
                <wp:start x="0" y="0"/>
                <wp:lineTo x="0" y="13348"/>
                <wp:lineTo x="4629" y="19416"/>
                <wp:lineTo x="7714" y="21236"/>
                <wp:lineTo x="13114" y="21236"/>
                <wp:lineTo x="16200" y="19416"/>
                <wp:lineTo x="20829" y="13955"/>
                <wp:lineTo x="20829" y="0"/>
                <wp:lineTo x="0" y="0"/>
              </wp:wrapPolygon>
            </wp:wrapTight>
            <wp:docPr id="1" name="Picture 7"/>
            <wp:cNvGraphicFramePr/>
            <a:graphic xmlns:a="http://schemas.openxmlformats.org/drawingml/2006/main">
              <a:graphicData uri="http://schemas.openxmlformats.org/drawingml/2006/picture">
                <pic:pic xmlns:pic="http://schemas.openxmlformats.org/drawingml/2006/picture">
                  <pic:nvPicPr>
                    <pic:cNvPr id="1968019455"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678180"/>
                    </a:xfrm>
                    <a:prstGeom prst="rect">
                      <a:avLst/>
                    </a:prstGeom>
                  </pic:spPr>
                </pic:pic>
              </a:graphicData>
            </a:graphic>
            <wp14:sizeRelH relativeFrom="page">
              <wp14:pctWidth>0</wp14:pctWidth>
            </wp14:sizeRelH>
            <wp14:sizeRelV relativeFrom="page">
              <wp14:pctHeight>0</wp14:pctHeight>
            </wp14:sizeRelV>
          </wp:anchor>
        </w:drawing>
      </w:r>
      <w:r w:rsidRPr="00390759">
        <w:rPr>
          <w:b/>
        </w:rPr>
        <w:t>St Mary’s Catholic School</w:t>
      </w:r>
    </w:p>
    <w:p w14:paraId="60514CDB" w14:textId="77777777" w:rsidR="006D6B90" w:rsidRPr="00390759" w:rsidRDefault="006D6B90" w:rsidP="00AE2217">
      <w:pPr>
        <w:jc w:val="both"/>
        <w:rPr>
          <w:b/>
          <w:color w:val="7030A0"/>
        </w:rPr>
      </w:pPr>
      <w:r w:rsidRPr="00390759">
        <w:rPr>
          <w:b/>
          <w:color w:val="7030A0"/>
        </w:rPr>
        <w:t>Year 11 in</w:t>
      </w:r>
      <w:r w:rsidR="00B225DC">
        <w:rPr>
          <w:b/>
          <w:color w:val="7030A0"/>
        </w:rPr>
        <w:t>to Year</w:t>
      </w:r>
      <w:r w:rsidRPr="00390759">
        <w:rPr>
          <w:b/>
          <w:color w:val="7030A0"/>
        </w:rPr>
        <w:t xml:space="preserve"> 12 Bridging Work</w:t>
      </w:r>
    </w:p>
    <w:p w14:paraId="29FE576F" w14:textId="77777777" w:rsidR="006D6B90" w:rsidRDefault="006D6B90" w:rsidP="00AE2217">
      <w:pPr>
        <w:jc w:val="both"/>
      </w:pPr>
    </w:p>
    <w:p w14:paraId="1D6D0A0E" w14:textId="77777777" w:rsidR="006D6B90" w:rsidRDefault="00B225DC" w:rsidP="006D6B90">
      <w:pPr>
        <w:jc w:val="center"/>
        <w:rPr>
          <w:b/>
          <w:sz w:val="28"/>
          <w:szCs w:val="28"/>
        </w:rPr>
      </w:pPr>
      <w:r>
        <w:rPr>
          <w:b/>
          <w:sz w:val="28"/>
          <w:szCs w:val="28"/>
        </w:rPr>
        <w:t>Recommended Reading List</w:t>
      </w:r>
      <w:r w:rsidR="008544BD">
        <w:rPr>
          <w:b/>
          <w:sz w:val="28"/>
          <w:szCs w:val="28"/>
        </w:rPr>
        <w:t xml:space="preserve"> for Year 12</w:t>
      </w:r>
    </w:p>
    <w:p w14:paraId="7B276E8F" w14:textId="77777777" w:rsidR="006D6B90" w:rsidRDefault="007910CF" w:rsidP="006D6B90">
      <w:pPr>
        <w:jc w:val="center"/>
        <w:rPr>
          <w:b/>
          <w:color w:val="7030A0"/>
          <w:sz w:val="28"/>
          <w:szCs w:val="28"/>
        </w:rPr>
      </w:pPr>
      <w:r w:rsidRPr="007910CF">
        <w:rPr>
          <w:b/>
          <w:color w:val="7030A0"/>
          <w:sz w:val="28"/>
          <w:szCs w:val="28"/>
        </w:rPr>
        <w:t xml:space="preserve">A Level Drama and Theatre </w:t>
      </w:r>
    </w:p>
    <w:p w14:paraId="32C95BFC" w14:textId="77777777" w:rsidR="006D6B90" w:rsidRPr="00874BD6" w:rsidRDefault="000A6D12" w:rsidP="000A6D12">
      <w:pPr>
        <w:jc w:val="both"/>
        <w:rPr>
          <w:i/>
          <w:color w:val="000000" w:themeColor="text1"/>
          <w:sz w:val="24"/>
          <w:szCs w:val="24"/>
        </w:rPr>
      </w:pPr>
      <w:r w:rsidRPr="00874BD6">
        <w:rPr>
          <w:i/>
          <w:color w:val="000000" w:themeColor="text1"/>
          <w:sz w:val="24"/>
          <w:szCs w:val="24"/>
        </w:rPr>
        <w:t>To prepare you for your Sixth Form studies, the reading list below includes a variety of books, articles and other material to read and use</w:t>
      </w:r>
      <w:r w:rsidR="00B225DC">
        <w:rPr>
          <w:i/>
          <w:color w:val="000000" w:themeColor="text1"/>
          <w:sz w:val="24"/>
          <w:szCs w:val="24"/>
        </w:rPr>
        <w:t>,</w:t>
      </w:r>
      <w:r w:rsidRPr="00874BD6">
        <w:rPr>
          <w:i/>
          <w:color w:val="000000" w:themeColor="text1"/>
          <w:sz w:val="24"/>
          <w:szCs w:val="24"/>
        </w:rPr>
        <w:t xml:space="preserve"> to broaden your knowledge, </w:t>
      </w:r>
      <w:r w:rsidR="00B225DC">
        <w:rPr>
          <w:i/>
          <w:color w:val="000000" w:themeColor="text1"/>
          <w:sz w:val="24"/>
          <w:szCs w:val="24"/>
        </w:rPr>
        <w:t xml:space="preserve">and </w:t>
      </w:r>
      <w:r w:rsidRPr="00874BD6">
        <w:rPr>
          <w:i/>
          <w:color w:val="000000" w:themeColor="text1"/>
          <w:sz w:val="24"/>
          <w:szCs w:val="24"/>
        </w:rPr>
        <w:t xml:space="preserve">to enrich your understanding of </w:t>
      </w:r>
      <w:r w:rsidR="007910CF">
        <w:rPr>
          <w:i/>
          <w:color w:val="000000" w:themeColor="text1"/>
          <w:sz w:val="24"/>
          <w:szCs w:val="24"/>
        </w:rPr>
        <w:t xml:space="preserve">Drama and Theatre. </w:t>
      </w:r>
    </w:p>
    <w:p w14:paraId="71DAAC15" w14:textId="77777777" w:rsidR="000A6D12" w:rsidRPr="00874BD6" w:rsidRDefault="000A6D12" w:rsidP="00874BD6">
      <w:pPr>
        <w:jc w:val="both"/>
        <w:rPr>
          <w:i/>
          <w:color w:val="000000" w:themeColor="text1"/>
          <w:sz w:val="24"/>
          <w:szCs w:val="24"/>
        </w:rPr>
      </w:pPr>
      <w:r w:rsidRPr="00874BD6">
        <w:rPr>
          <w:i/>
          <w:color w:val="000000" w:themeColor="text1"/>
          <w:sz w:val="24"/>
          <w:szCs w:val="24"/>
        </w:rPr>
        <w:t>Take some time over the summer to complete the reading below, using the tasks to help structure your reading.</w:t>
      </w:r>
    </w:p>
    <w:tbl>
      <w:tblPr>
        <w:tblStyle w:val="TableGrid"/>
        <w:tblW w:w="0" w:type="auto"/>
        <w:tblLayout w:type="fixed"/>
        <w:tblLook w:val="04A0" w:firstRow="1" w:lastRow="0" w:firstColumn="1" w:lastColumn="0" w:noHBand="0" w:noVBand="1"/>
      </w:tblPr>
      <w:tblGrid>
        <w:gridCol w:w="2187"/>
        <w:gridCol w:w="2911"/>
        <w:gridCol w:w="2898"/>
        <w:gridCol w:w="1893"/>
      </w:tblGrid>
      <w:tr w:rsidR="009F43F5" w14:paraId="7CF91F32" w14:textId="77777777" w:rsidTr="009F43F5">
        <w:tc>
          <w:tcPr>
            <w:tcW w:w="2187" w:type="dxa"/>
            <w:shd w:val="clear" w:color="auto" w:fill="D9E2F3" w:themeFill="accent5" w:themeFillTint="33"/>
          </w:tcPr>
          <w:p w14:paraId="6D08A427" w14:textId="77777777" w:rsidR="009F43F5" w:rsidRPr="009F43F5" w:rsidRDefault="009F43F5" w:rsidP="006D6B90">
            <w:pPr>
              <w:rPr>
                <w:b/>
                <w:sz w:val="20"/>
                <w:szCs w:val="20"/>
              </w:rPr>
            </w:pPr>
            <w:r w:rsidRPr="009F43F5">
              <w:rPr>
                <w:b/>
                <w:sz w:val="20"/>
                <w:szCs w:val="20"/>
              </w:rPr>
              <w:t>Read / Watch</w:t>
            </w:r>
            <w:r w:rsidR="007910CF">
              <w:rPr>
                <w:b/>
                <w:sz w:val="20"/>
                <w:szCs w:val="20"/>
              </w:rPr>
              <w:t xml:space="preserve">/ Listen </w:t>
            </w:r>
          </w:p>
        </w:tc>
        <w:tc>
          <w:tcPr>
            <w:tcW w:w="2911" w:type="dxa"/>
            <w:shd w:val="clear" w:color="auto" w:fill="D9E2F3" w:themeFill="accent5" w:themeFillTint="33"/>
          </w:tcPr>
          <w:p w14:paraId="7F8E5630" w14:textId="77777777" w:rsidR="009F43F5" w:rsidRPr="009F43F5" w:rsidRDefault="009F43F5" w:rsidP="006D6B90">
            <w:pPr>
              <w:rPr>
                <w:b/>
                <w:sz w:val="20"/>
                <w:szCs w:val="20"/>
              </w:rPr>
            </w:pPr>
            <w:r w:rsidRPr="009F43F5">
              <w:rPr>
                <w:b/>
                <w:sz w:val="20"/>
                <w:szCs w:val="20"/>
              </w:rPr>
              <w:t xml:space="preserve">Link if this is available </w:t>
            </w:r>
            <w:r w:rsidR="00524C79">
              <w:rPr>
                <w:b/>
                <w:sz w:val="20"/>
                <w:szCs w:val="20"/>
              </w:rPr>
              <w:t>online</w:t>
            </w:r>
          </w:p>
        </w:tc>
        <w:tc>
          <w:tcPr>
            <w:tcW w:w="2898" w:type="dxa"/>
            <w:shd w:val="clear" w:color="auto" w:fill="D9E2F3" w:themeFill="accent5" w:themeFillTint="33"/>
          </w:tcPr>
          <w:p w14:paraId="128D708B" w14:textId="77777777" w:rsidR="009F43F5" w:rsidRPr="009F43F5" w:rsidRDefault="009F4B39" w:rsidP="009F4B39">
            <w:pPr>
              <w:jc w:val="center"/>
              <w:rPr>
                <w:b/>
                <w:sz w:val="20"/>
                <w:szCs w:val="20"/>
              </w:rPr>
            </w:pPr>
            <w:r>
              <w:rPr>
                <w:b/>
                <w:sz w:val="20"/>
                <w:szCs w:val="20"/>
              </w:rPr>
              <w:t>Tasks to</w:t>
            </w:r>
            <w:r w:rsidR="009F43F5" w:rsidRPr="009F43F5">
              <w:rPr>
                <w:b/>
                <w:sz w:val="20"/>
                <w:szCs w:val="20"/>
              </w:rPr>
              <w:t xml:space="preserve"> complete </w:t>
            </w:r>
          </w:p>
        </w:tc>
        <w:tc>
          <w:tcPr>
            <w:tcW w:w="1893" w:type="dxa"/>
            <w:shd w:val="clear" w:color="auto" w:fill="D9E2F3" w:themeFill="accent5" w:themeFillTint="33"/>
          </w:tcPr>
          <w:p w14:paraId="572336C6" w14:textId="77777777" w:rsidR="009F43F5" w:rsidRPr="009F43F5" w:rsidRDefault="009F43F5" w:rsidP="009F43F5">
            <w:pPr>
              <w:jc w:val="center"/>
              <w:rPr>
                <w:b/>
                <w:sz w:val="20"/>
                <w:szCs w:val="20"/>
              </w:rPr>
            </w:pPr>
            <w:r w:rsidRPr="009F43F5">
              <w:rPr>
                <w:b/>
                <w:sz w:val="20"/>
                <w:szCs w:val="20"/>
              </w:rPr>
              <w:t>Any additional notes</w:t>
            </w:r>
          </w:p>
        </w:tc>
      </w:tr>
      <w:tr w:rsidR="009F43F5" w14:paraId="148BF4A3" w14:textId="77777777" w:rsidTr="009F43F5">
        <w:tc>
          <w:tcPr>
            <w:tcW w:w="2187" w:type="dxa"/>
          </w:tcPr>
          <w:p w14:paraId="7C2EB620" w14:textId="77777777" w:rsidR="009F43F5" w:rsidRPr="0049669E" w:rsidRDefault="007910CF" w:rsidP="006B7152">
            <w:r w:rsidRPr="0049669E">
              <w:t>Listen to</w:t>
            </w:r>
            <w:r w:rsidRPr="0049669E">
              <w:rPr>
                <w:b/>
              </w:rPr>
              <w:t xml:space="preserve"> The Ad </w:t>
            </w:r>
            <w:proofErr w:type="spellStart"/>
            <w:r w:rsidRPr="0049669E">
              <w:rPr>
                <w:b/>
              </w:rPr>
              <w:t>Libbing</w:t>
            </w:r>
            <w:proofErr w:type="spellEnd"/>
            <w:r w:rsidRPr="0049669E">
              <w:rPr>
                <w:b/>
              </w:rPr>
              <w:t xml:space="preserve"> Podcast</w:t>
            </w:r>
            <w:r w:rsidRPr="0049669E">
              <w:t xml:space="preserve">; there are 7 episodes. Pick the episode you are most interested in (there is a description) and listen to TWO episodes. </w:t>
            </w:r>
          </w:p>
        </w:tc>
        <w:tc>
          <w:tcPr>
            <w:tcW w:w="2911" w:type="dxa"/>
          </w:tcPr>
          <w:p w14:paraId="270DD84C" w14:textId="77777777" w:rsidR="006469C3" w:rsidRPr="0049669E" w:rsidRDefault="00DD0778" w:rsidP="007910CF">
            <w:pPr>
              <w:numPr>
                <w:ilvl w:val="0"/>
                <w:numId w:val="4"/>
              </w:numPr>
            </w:pPr>
            <w:hyperlink r:id="rId6" w:history="1">
              <w:r w:rsidR="007910CF" w:rsidRPr="0049669E">
                <w:rPr>
                  <w:rStyle w:val="Hyperlink"/>
                </w:rPr>
                <w:t>https://podcasts.google.com/feed/aHR0cHM6Ly9mZWVkcy5idXp6c3Byb3V0LmNvbS8xMTI0OTMzLnJzcw/episode/QnV6enNwcm91dC00MDc2Mzkw?hl=en-GB&amp;ved=2ahUKEwitvI3B_oXqAhXOPsAKHaR8C04QjrkEegQICxAE&amp;ep=6</w:t>
              </w:r>
            </w:hyperlink>
          </w:p>
          <w:p w14:paraId="592F9A06" w14:textId="77777777" w:rsidR="009F43F5" w:rsidRPr="0049669E" w:rsidRDefault="009F43F5" w:rsidP="006B7152"/>
        </w:tc>
        <w:tc>
          <w:tcPr>
            <w:tcW w:w="2898" w:type="dxa"/>
          </w:tcPr>
          <w:p w14:paraId="1234BDC9" w14:textId="77777777" w:rsidR="009F43F5" w:rsidRPr="0049669E" w:rsidRDefault="007910CF" w:rsidP="006B7152">
            <w:pPr>
              <w:pStyle w:val="ListParagraph"/>
            </w:pPr>
            <w:r w:rsidRPr="0049669E">
              <w:t xml:space="preserve">Listen to two episodes and make a list of the advice given to listeners that will help you during your studies of drama. </w:t>
            </w:r>
          </w:p>
        </w:tc>
        <w:tc>
          <w:tcPr>
            <w:tcW w:w="1893" w:type="dxa"/>
          </w:tcPr>
          <w:p w14:paraId="0C618730" w14:textId="77777777" w:rsidR="009F43F5" w:rsidRPr="0049669E" w:rsidRDefault="007910CF" w:rsidP="006B7152">
            <w:pPr>
              <w:ind w:left="360"/>
            </w:pPr>
            <w:r w:rsidRPr="0049669E">
              <w:t xml:space="preserve">The hosts of this podcast are joined by inspirational guests from the world of Theatre and TV to share their career journeys. </w:t>
            </w:r>
          </w:p>
        </w:tc>
      </w:tr>
      <w:tr w:rsidR="009F43F5" w14:paraId="355F49B8" w14:textId="77777777" w:rsidTr="009F43F5">
        <w:tc>
          <w:tcPr>
            <w:tcW w:w="2187" w:type="dxa"/>
          </w:tcPr>
          <w:p w14:paraId="5834CD88" w14:textId="77777777" w:rsidR="009F43F5" w:rsidRPr="0049669E" w:rsidRDefault="007910CF" w:rsidP="006B7152">
            <w:r w:rsidRPr="0049669E">
              <w:t xml:space="preserve">Read </w:t>
            </w:r>
            <w:r w:rsidRPr="0049669E">
              <w:rPr>
                <w:b/>
                <w:bCs/>
              </w:rPr>
              <w:t>The Empty Space by Peter Brook</w:t>
            </w:r>
            <w:r w:rsidRPr="0049669E">
              <w:t xml:space="preserve"> </w:t>
            </w:r>
          </w:p>
        </w:tc>
        <w:tc>
          <w:tcPr>
            <w:tcW w:w="2911" w:type="dxa"/>
          </w:tcPr>
          <w:p w14:paraId="7CBDBCB5" w14:textId="77777777" w:rsidR="009F43F5" w:rsidRPr="0049669E" w:rsidRDefault="00DD0778" w:rsidP="006B7152">
            <w:hyperlink r:id="rId7" w:history="1">
              <w:r w:rsidR="007910CF" w:rsidRPr="0049669E">
                <w:rPr>
                  <w:rStyle w:val="Hyperlink"/>
                </w:rPr>
                <w:t>https://ibtheatrereadingroom.files.wordpress.com/2018/05/brook-peter-the-empty-space.pdf</w:t>
              </w:r>
            </w:hyperlink>
          </w:p>
          <w:p w14:paraId="15FD77F3" w14:textId="77777777" w:rsidR="007910CF" w:rsidRPr="0049669E" w:rsidRDefault="007910CF" w:rsidP="006B7152"/>
        </w:tc>
        <w:tc>
          <w:tcPr>
            <w:tcW w:w="2898" w:type="dxa"/>
          </w:tcPr>
          <w:p w14:paraId="37EF530F" w14:textId="7ED7C7CE" w:rsidR="009F43F5" w:rsidRPr="0049669E" w:rsidRDefault="0049669E" w:rsidP="006B7152">
            <w:pPr>
              <w:pStyle w:val="ListParagraph"/>
            </w:pPr>
            <w:r w:rsidRPr="0049669E">
              <w:t xml:space="preserve">Note </w:t>
            </w:r>
            <w:r w:rsidR="007910CF" w:rsidRPr="0049669E">
              <w:t xml:space="preserve">down any tips from the book that will help you develop your devising from last year and produce an interesting piece of devised theatre in year 12. If you can print it; you could highlight the tips </w:t>
            </w:r>
          </w:p>
        </w:tc>
        <w:tc>
          <w:tcPr>
            <w:tcW w:w="1893" w:type="dxa"/>
          </w:tcPr>
          <w:p w14:paraId="73523F9C" w14:textId="434868B6" w:rsidR="009F43F5" w:rsidRPr="0049669E" w:rsidRDefault="0049669E" w:rsidP="006B7152">
            <w:pPr>
              <w:ind w:left="360"/>
            </w:pPr>
            <w:r w:rsidRPr="0049669E">
              <w:t>This is useful for the devising unit</w:t>
            </w:r>
          </w:p>
        </w:tc>
      </w:tr>
      <w:tr w:rsidR="009F43F5" w14:paraId="546F8573" w14:textId="77777777" w:rsidTr="009F43F5">
        <w:tc>
          <w:tcPr>
            <w:tcW w:w="2187" w:type="dxa"/>
          </w:tcPr>
          <w:p w14:paraId="239BF009" w14:textId="73D767B1" w:rsidR="009F43F5" w:rsidRPr="0049669E" w:rsidRDefault="0049669E" w:rsidP="006B7152">
            <w:r w:rsidRPr="0049669E">
              <w:t xml:space="preserve">Watch the </w:t>
            </w:r>
            <w:r w:rsidRPr="0049669E">
              <w:rPr>
                <w:b/>
                <w:bCs/>
              </w:rPr>
              <w:t>Crash Course video ‘What is Theatre’</w:t>
            </w:r>
            <w:r w:rsidRPr="0049669E">
              <w:t xml:space="preserve">  </w:t>
            </w:r>
          </w:p>
        </w:tc>
        <w:tc>
          <w:tcPr>
            <w:tcW w:w="2911" w:type="dxa"/>
          </w:tcPr>
          <w:p w14:paraId="4291B257" w14:textId="77777777" w:rsidR="009F43F5" w:rsidRPr="0049669E" w:rsidRDefault="00DD0778" w:rsidP="006B7152">
            <w:hyperlink r:id="rId8" w:history="1">
              <w:r w:rsidR="0049669E" w:rsidRPr="0049669E">
                <w:rPr>
                  <w:color w:val="0000FF"/>
                  <w:u w:val="single"/>
                </w:rPr>
                <w:t>https://www.youtube.com/watch?v=sNWrOuwzax8</w:t>
              </w:r>
            </w:hyperlink>
          </w:p>
          <w:p w14:paraId="30545B18" w14:textId="331EE05A" w:rsidR="0049669E" w:rsidRPr="0049669E" w:rsidRDefault="0049669E" w:rsidP="006B7152"/>
        </w:tc>
        <w:tc>
          <w:tcPr>
            <w:tcW w:w="2898" w:type="dxa"/>
          </w:tcPr>
          <w:p w14:paraId="2F3768AF" w14:textId="740325F6" w:rsidR="009F43F5" w:rsidRPr="0049669E" w:rsidRDefault="0049669E" w:rsidP="006B7152">
            <w:pPr>
              <w:pStyle w:val="ListParagraph"/>
            </w:pPr>
            <w:r w:rsidRPr="0049669E">
              <w:t xml:space="preserve">Make notes about how theatre developed over the years </w:t>
            </w:r>
          </w:p>
        </w:tc>
        <w:tc>
          <w:tcPr>
            <w:tcW w:w="1893" w:type="dxa"/>
          </w:tcPr>
          <w:p w14:paraId="7BB7C78E" w14:textId="5006F611" w:rsidR="009F43F5" w:rsidRPr="0049669E" w:rsidRDefault="0049669E" w:rsidP="006B7152">
            <w:r w:rsidRPr="0049669E">
              <w:t xml:space="preserve">In the live theatre unit, you need to show understanding of what theatre means to young people today; this will give you a good basis for how theatre developed </w:t>
            </w:r>
          </w:p>
        </w:tc>
      </w:tr>
      <w:tr w:rsidR="009F43F5" w14:paraId="37458409" w14:textId="77777777" w:rsidTr="009F43F5">
        <w:tc>
          <w:tcPr>
            <w:tcW w:w="2187" w:type="dxa"/>
          </w:tcPr>
          <w:p w14:paraId="555F7826" w14:textId="28310FDB" w:rsidR="009F43F5" w:rsidRPr="008544BD" w:rsidRDefault="0049669E" w:rsidP="006B7152">
            <w:pPr>
              <w:rPr>
                <w:sz w:val="20"/>
                <w:szCs w:val="20"/>
              </w:rPr>
            </w:pPr>
            <w:r>
              <w:rPr>
                <w:sz w:val="20"/>
                <w:szCs w:val="20"/>
              </w:rPr>
              <w:t xml:space="preserve">Watch </w:t>
            </w:r>
            <w:r w:rsidRPr="0049669E">
              <w:rPr>
                <w:b/>
                <w:bCs/>
                <w:sz w:val="20"/>
                <w:szCs w:val="20"/>
              </w:rPr>
              <w:t>Arthur Pita’s ballet version of ‘The Metamorphosis’</w:t>
            </w:r>
            <w:r>
              <w:rPr>
                <w:sz w:val="20"/>
                <w:szCs w:val="20"/>
              </w:rPr>
              <w:t xml:space="preserve"> which </w:t>
            </w:r>
            <w:r>
              <w:rPr>
                <w:sz w:val="20"/>
                <w:szCs w:val="20"/>
              </w:rPr>
              <w:lastRenderedPageBreak/>
              <w:t xml:space="preserve">an adaptation of a play by Steven Berkoff </w:t>
            </w:r>
          </w:p>
        </w:tc>
        <w:tc>
          <w:tcPr>
            <w:tcW w:w="2911" w:type="dxa"/>
          </w:tcPr>
          <w:p w14:paraId="0F05A9B7" w14:textId="77777777" w:rsidR="009F43F5" w:rsidRDefault="00DD0778" w:rsidP="006B7152">
            <w:hyperlink r:id="rId9" w:history="1">
              <w:r w:rsidR="0049669E" w:rsidRPr="0049669E">
                <w:rPr>
                  <w:color w:val="0000FF"/>
                  <w:u w:val="single"/>
                </w:rPr>
                <w:t>https://www.youtube.com/watch?v=Nab-ydcWV-c</w:t>
              </w:r>
            </w:hyperlink>
          </w:p>
          <w:p w14:paraId="4A912ECF" w14:textId="6FB50820" w:rsidR="0049669E" w:rsidRPr="008544BD" w:rsidRDefault="0049669E" w:rsidP="006B7152">
            <w:pPr>
              <w:rPr>
                <w:sz w:val="20"/>
                <w:szCs w:val="20"/>
              </w:rPr>
            </w:pPr>
          </w:p>
        </w:tc>
        <w:tc>
          <w:tcPr>
            <w:tcW w:w="2898" w:type="dxa"/>
          </w:tcPr>
          <w:p w14:paraId="3EBD8F58" w14:textId="78E0A875" w:rsidR="009F43F5" w:rsidRPr="008544BD" w:rsidRDefault="0049669E" w:rsidP="006B7152">
            <w:pPr>
              <w:pStyle w:val="ListParagraph"/>
              <w:rPr>
                <w:sz w:val="20"/>
                <w:szCs w:val="20"/>
              </w:rPr>
            </w:pPr>
            <w:r>
              <w:rPr>
                <w:sz w:val="20"/>
                <w:szCs w:val="20"/>
              </w:rPr>
              <w:t xml:space="preserve">Make a list of ‘Key moments’ of any interesting visual or audio moments that </w:t>
            </w:r>
            <w:r>
              <w:rPr>
                <w:sz w:val="20"/>
                <w:szCs w:val="20"/>
              </w:rPr>
              <w:lastRenderedPageBreak/>
              <w:t xml:space="preserve">could inspire your own performance work. </w:t>
            </w:r>
          </w:p>
        </w:tc>
        <w:tc>
          <w:tcPr>
            <w:tcW w:w="1893" w:type="dxa"/>
          </w:tcPr>
          <w:p w14:paraId="0930FC23" w14:textId="77777777" w:rsidR="009F43F5" w:rsidRPr="008544BD" w:rsidRDefault="009F43F5" w:rsidP="006B7152">
            <w:pPr>
              <w:rPr>
                <w:sz w:val="20"/>
                <w:szCs w:val="20"/>
              </w:rPr>
            </w:pPr>
          </w:p>
        </w:tc>
      </w:tr>
      <w:tr w:rsidR="009F43F5" w14:paraId="588BF348" w14:textId="77777777" w:rsidTr="009F43F5">
        <w:tc>
          <w:tcPr>
            <w:tcW w:w="2187" w:type="dxa"/>
          </w:tcPr>
          <w:p w14:paraId="00E72564" w14:textId="0F67136E" w:rsidR="009F43F5" w:rsidRPr="008544BD" w:rsidRDefault="0049669E" w:rsidP="006B7152">
            <w:pPr>
              <w:rPr>
                <w:sz w:val="20"/>
                <w:szCs w:val="20"/>
              </w:rPr>
            </w:pPr>
            <w:r>
              <w:rPr>
                <w:sz w:val="20"/>
                <w:szCs w:val="20"/>
              </w:rPr>
              <w:t xml:space="preserve">Watch the adaptation of </w:t>
            </w:r>
            <w:r w:rsidRPr="000F3E71">
              <w:rPr>
                <w:b/>
                <w:bCs/>
                <w:sz w:val="20"/>
                <w:szCs w:val="20"/>
              </w:rPr>
              <w:t>‘A Midsummer Night’s Dream’</w:t>
            </w:r>
            <w:r>
              <w:rPr>
                <w:sz w:val="20"/>
                <w:szCs w:val="20"/>
              </w:rPr>
              <w:t xml:space="preserve"> </w:t>
            </w:r>
          </w:p>
        </w:tc>
        <w:tc>
          <w:tcPr>
            <w:tcW w:w="2911" w:type="dxa"/>
          </w:tcPr>
          <w:p w14:paraId="3E9211D2" w14:textId="5C236959" w:rsidR="008544BD" w:rsidRPr="008544BD" w:rsidRDefault="00DD0778" w:rsidP="006B7152">
            <w:pPr>
              <w:rPr>
                <w:sz w:val="20"/>
                <w:szCs w:val="20"/>
              </w:rPr>
            </w:pPr>
            <w:hyperlink r:id="rId10" w:history="1">
              <w:r w:rsidR="0049669E" w:rsidRPr="0049669E">
                <w:rPr>
                  <w:color w:val="0000FF"/>
                  <w:u w:val="single"/>
                </w:rPr>
                <w:t>https://www.bbc.co.uk/iplayer/episode/b07dx7lt/a-midsummer-nights-dream</w:t>
              </w:r>
            </w:hyperlink>
          </w:p>
        </w:tc>
        <w:tc>
          <w:tcPr>
            <w:tcW w:w="2898" w:type="dxa"/>
          </w:tcPr>
          <w:p w14:paraId="04C26A61" w14:textId="097950F2" w:rsidR="009F43F5" w:rsidRPr="008544BD" w:rsidRDefault="000F3E71" w:rsidP="006B7152">
            <w:pPr>
              <w:pStyle w:val="ListParagraph"/>
              <w:rPr>
                <w:sz w:val="20"/>
                <w:szCs w:val="20"/>
              </w:rPr>
            </w:pPr>
            <w:r>
              <w:rPr>
                <w:sz w:val="20"/>
                <w:szCs w:val="20"/>
              </w:rPr>
              <w:t xml:space="preserve">Watch this for enjoyment (but feel free to make any notes of interesting moments) </w:t>
            </w:r>
          </w:p>
        </w:tc>
        <w:tc>
          <w:tcPr>
            <w:tcW w:w="1893" w:type="dxa"/>
          </w:tcPr>
          <w:p w14:paraId="3177B5F3" w14:textId="77777777" w:rsidR="009F43F5" w:rsidRPr="008544BD" w:rsidRDefault="009F43F5" w:rsidP="006B7152">
            <w:pPr>
              <w:rPr>
                <w:sz w:val="20"/>
                <w:szCs w:val="20"/>
              </w:rPr>
            </w:pPr>
          </w:p>
        </w:tc>
      </w:tr>
    </w:tbl>
    <w:p w14:paraId="2346A88C" w14:textId="77777777" w:rsidR="006D6B90" w:rsidRPr="006D6B90" w:rsidRDefault="006D6B90" w:rsidP="006D6B90">
      <w:pPr>
        <w:rPr>
          <w:color w:val="7030A0"/>
          <w:sz w:val="28"/>
          <w:szCs w:val="28"/>
        </w:rPr>
      </w:pPr>
    </w:p>
    <w:p w14:paraId="68BCD188" w14:textId="77777777" w:rsidR="006D6B90" w:rsidRDefault="006D6B90" w:rsidP="006D6B90">
      <w:pPr>
        <w:jc w:val="center"/>
        <w:rPr>
          <w:b/>
          <w:sz w:val="28"/>
          <w:szCs w:val="28"/>
        </w:rPr>
      </w:pPr>
    </w:p>
    <w:p w14:paraId="2EBF43F8" w14:textId="77777777" w:rsidR="006D6B90" w:rsidRPr="006D6B90" w:rsidRDefault="006D6B90" w:rsidP="006D6B90">
      <w:pPr>
        <w:jc w:val="center"/>
        <w:rPr>
          <w:b/>
          <w:sz w:val="28"/>
          <w:szCs w:val="28"/>
        </w:rPr>
      </w:pPr>
    </w:p>
    <w:sectPr w:rsidR="006D6B90" w:rsidRPr="006D6B90" w:rsidSect="00227C05">
      <w:pgSz w:w="11906" w:h="16838"/>
      <w:pgMar w:top="426"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590"/>
    <w:multiLevelType w:val="hybridMultilevel"/>
    <w:tmpl w:val="8948F0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4414010E"/>
    <w:multiLevelType w:val="hybridMultilevel"/>
    <w:tmpl w:val="C5BE9700"/>
    <w:lvl w:ilvl="0" w:tplc="AA52A85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2896"/>
    <w:multiLevelType w:val="hybridMultilevel"/>
    <w:tmpl w:val="71F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A63A8"/>
    <w:multiLevelType w:val="hybridMultilevel"/>
    <w:tmpl w:val="E4727174"/>
    <w:lvl w:ilvl="0" w:tplc="E1C27006">
      <w:start w:val="1"/>
      <w:numFmt w:val="bullet"/>
      <w:lvlText w:val="•"/>
      <w:lvlJc w:val="left"/>
      <w:pPr>
        <w:tabs>
          <w:tab w:val="num" w:pos="720"/>
        </w:tabs>
        <w:ind w:left="720" w:hanging="360"/>
      </w:pPr>
      <w:rPr>
        <w:rFonts w:ascii="Arial" w:hAnsi="Arial" w:hint="default"/>
      </w:rPr>
    </w:lvl>
    <w:lvl w:ilvl="1" w:tplc="2528F666" w:tentative="1">
      <w:start w:val="1"/>
      <w:numFmt w:val="bullet"/>
      <w:lvlText w:val="•"/>
      <w:lvlJc w:val="left"/>
      <w:pPr>
        <w:tabs>
          <w:tab w:val="num" w:pos="1440"/>
        </w:tabs>
        <w:ind w:left="1440" w:hanging="360"/>
      </w:pPr>
      <w:rPr>
        <w:rFonts w:ascii="Arial" w:hAnsi="Arial" w:hint="default"/>
      </w:rPr>
    </w:lvl>
    <w:lvl w:ilvl="2" w:tplc="6CDC9D14" w:tentative="1">
      <w:start w:val="1"/>
      <w:numFmt w:val="bullet"/>
      <w:lvlText w:val="•"/>
      <w:lvlJc w:val="left"/>
      <w:pPr>
        <w:tabs>
          <w:tab w:val="num" w:pos="2160"/>
        </w:tabs>
        <w:ind w:left="2160" w:hanging="360"/>
      </w:pPr>
      <w:rPr>
        <w:rFonts w:ascii="Arial" w:hAnsi="Arial" w:hint="default"/>
      </w:rPr>
    </w:lvl>
    <w:lvl w:ilvl="3" w:tplc="9EC6ACE2" w:tentative="1">
      <w:start w:val="1"/>
      <w:numFmt w:val="bullet"/>
      <w:lvlText w:val="•"/>
      <w:lvlJc w:val="left"/>
      <w:pPr>
        <w:tabs>
          <w:tab w:val="num" w:pos="2880"/>
        </w:tabs>
        <w:ind w:left="2880" w:hanging="360"/>
      </w:pPr>
      <w:rPr>
        <w:rFonts w:ascii="Arial" w:hAnsi="Arial" w:hint="default"/>
      </w:rPr>
    </w:lvl>
    <w:lvl w:ilvl="4" w:tplc="FE6E58B2" w:tentative="1">
      <w:start w:val="1"/>
      <w:numFmt w:val="bullet"/>
      <w:lvlText w:val="•"/>
      <w:lvlJc w:val="left"/>
      <w:pPr>
        <w:tabs>
          <w:tab w:val="num" w:pos="3600"/>
        </w:tabs>
        <w:ind w:left="3600" w:hanging="360"/>
      </w:pPr>
      <w:rPr>
        <w:rFonts w:ascii="Arial" w:hAnsi="Arial" w:hint="default"/>
      </w:rPr>
    </w:lvl>
    <w:lvl w:ilvl="5" w:tplc="272E83CC" w:tentative="1">
      <w:start w:val="1"/>
      <w:numFmt w:val="bullet"/>
      <w:lvlText w:val="•"/>
      <w:lvlJc w:val="left"/>
      <w:pPr>
        <w:tabs>
          <w:tab w:val="num" w:pos="4320"/>
        </w:tabs>
        <w:ind w:left="4320" w:hanging="360"/>
      </w:pPr>
      <w:rPr>
        <w:rFonts w:ascii="Arial" w:hAnsi="Arial" w:hint="default"/>
      </w:rPr>
    </w:lvl>
    <w:lvl w:ilvl="6" w:tplc="D2EAD168" w:tentative="1">
      <w:start w:val="1"/>
      <w:numFmt w:val="bullet"/>
      <w:lvlText w:val="•"/>
      <w:lvlJc w:val="left"/>
      <w:pPr>
        <w:tabs>
          <w:tab w:val="num" w:pos="5040"/>
        </w:tabs>
        <w:ind w:left="5040" w:hanging="360"/>
      </w:pPr>
      <w:rPr>
        <w:rFonts w:ascii="Arial" w:hAnsi="Arial" w:hint="default"/>
      </w:rPr>
    </w:lvl>
    <w:lvl w:ilvl="7" w:tplc="13167D98" w:tentative="1">
      <w:start w:val="1"/>
      <w:numFmt w:val="bullet"/>
      <w:lvlText w:val="•"/>
      <w:lvlJc w:val="left"/>
      <w:pPr>
        <w:tabs>
          <w:tab w:val="num" w:pos="5760"/>
        </w:tabs>
        <w:ind w:left="5760" w:hanging="360"/>
      </w:pPr>
      <w:rPr>
        <w:rFonts w:ascii="Arial" w:hAnsi="Arial" w:hint="default"/>
      </w:rPr>
    </w:lvl>
    <w:lvl w:ilvl="8" w:tplc="914214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5"/>
    <w:rsid w:val="000A6D12"/>
    <w:rsid w:val="000F3E71"/>
    <w:rsid w:val="00205484"/>
    <w:rsid w:val="00227C05"/>
    <w:rsid w:val="00281DDE"/>
    <w:rsid w:val="00390759"/>
    <w:rsid w:val="003D7735"/>
    <w:rsid w:val="00467C26"/>
    <w:rsid w:val="0049669E"/>
    <w:rsid w:val="00524C79"/>
    <w:rsid w:val="00554A7F"/>
    <w:rsid w:val="006469C3"/>
    <w:rsid w:val="006B7152"/>
    <w:rsid w:val="006D6B90"/>
    <w:rsid w:val="00724D2E"/>
    <w:rsid w:val="00766AC2"/>
    <w:rsid w:val="007910CF"/>
    <w:rsid w:val="00820E37"/>
    <w:rsid w:val="008544BD"/>
    <w:rsid w:val="00874BD6"/>
    <w:rsid w:val="008D32D3"/>
    <w:rsid w:val="008F2C0D"/>
    <w:rsid w:val="009F43F5"/>
    <w:rsid w:val="009F4B39"/>
    <w:rsid w:val="00AE2217"/>
    <w:rsid w:val="00B225DC"/>
    <w:rsid w:val="00C841F7"/>
    <w:rsid w:val="00DA5A49"/>
    <w:rsid w:val="00DD0778"/>
    <w:rsid w:val="00E304E4"/>
    <w:rsid w:val="00E7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A988"/>
  <w15:chartTrackingRefBased/>
  <w15:docId w15:val="{AECE35DF-84DF-42BB-AE45-A5CC43A1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2E"/>
    <w:pPr>
      <w:ind w:left="720"/>
      <w:contextualSpacing/>
    </w:pPr>
  </w:style>
  <w:style w:type="table" w:styleId="TableGrid">
    <w:name w:val="Table Grid"/>
    <w:basedOn w:val="TableNormal"/>
    <w:uiPriority w:val="39"/>
    <w:rsid w:val="006D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59953">
      <w:bodyDiv w:val="1"/>
      <w:marLeft w:val="0"/>
      <w:marRight w:val="0"/>
      <w:marTop w:val="0"/>
      <w:marBottom w:val="0"/>
      <w:divBdr>
        <w:top w:val="none" w:sz="0" w:space="0" w:color="auto"/>
        <w:left w:val="none" w:sz="0" w:space="0" w:color="auto"/>
        <w:bottom w:val="none" w:sz="0" w:space="0" w:color="auto"/>
        <w:right w:val="none" w:sz="0" w:space="0" w:color="auto"/>
      </w:divBdr>
      <w:divsChild>
        <w:div w:id="11371881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WrOuwzax8" TargetMode="External"/><Relationship Id="rId3" Type="http://schemas.openxmlformats.org/officeDocument/2006/relationships/settings" Target="settings.xml"/><Relationship Id="rId7" Type="http://schemas.openxmlformats.org/officeDocument/2006/relationships/hyperlink" Target="https://ibtheatrereadingroom.files.wordpress.com/2018/05/brook-peter-the-empty-spa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google.com/feed/aHR0cHM6Ly9mZWVkcy5idXp6c3Byb3V0LmNvbS8xMTI0OTMzLnJzcw/episode/QnV6enNwcm91dC00MDc2Mzkw?hl=en-GB&amp;ved=2ahUKEwitvI3B_oXqAhXOPsAKHaR8C04QjrkEegQICxAE&amp;ep=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bc.co.uk/iplayer/episode/b07dx7lt/a-midsummer-nights-dream" TargetMode="External"/><Relationship Id="rId4" Type="http://schemas.openxmlformats.org/officeDocument/2006/relationships/webSettings" Target="webSettings.xml"/><Relationship Id="rId9" Type="http://schemas.openxmlformats.org/officeDocument/2006/relationships/hyperlink" Target="https://www.youtube.com/watch?v=Nab-ydcW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dcterms:created xsi:type="dcterms:W3CDTF">2020-07-10T12:28:00Z</dcterms:created>
  <dcterms:modified xsi:type="dcterms:W3CDTF">2020-07-10T12:28:00Z</dcterms:modified>
</cp:coreProperties>
</file>