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411" w:rsidRPr="000208E0" w:rsidRDefault="0052716E" w:rsidP="000208E0">
      <w:pPr>
        <w:jc w:val="center"/>
        <w:rPr>
          <w:b/>
          <w:sz w:val="28"/>
          <w:szCs w:val="28"/>
          <w:u w:val="single"/>
        </w:rPr>
      </w:pPr>
      <w:r>
        <w:rPr>
          <w:b/>
          <w:sz w:val="28"/>
          <w:szCs w:val="28"/>
          <w:u w:val="single"/>
        </w:rPr>
        <w:t>PE and Sport Premium Spending R</w:t>
      </w:r>
      <w:bookmarkStart w:id="0" w:name="_GoBack"/>
      <w:bookmarkEnd w:id="0"/>
      <w:r w:rsidR="000208E0" w:rsidRPr="000208E0">
        <w:rPr>
          <w:b/>
          <w:sz w:val="28"/>
          <w:szCs w:val="28"/>
          <w:u w:val="single"/>
        </w:rPr>
        <w:t>eview</w:t>
      </w:r>
    </w:p>
    <w:p w:rsidR="00362D6A" w:rsidRDefault="00362D6A">
      <w:r>
        <w:rPr>
          <w:b/>
          <w:bCs/>
        </w:rPr>
        <w:t>REFLECTION: WHAT HAVE WE ACH</w:t>
      </w:r>
      <w:r w:rsidR="006C6C45">
        <w:rPr>
          <w:b/>
          <w:bCs/>
        </w:rPr>
        <w:t>IEVED AND WHERE NEXT? 2018-19</w:t>
      </w:r>
    </w:p>
    <w:tbl>
      <w:tblPr>
        <w:tblStyle w:val="TableGrid"/>
        <w:tblW w:w="10703" w:type="dxa"/>
        <w:tblLook w:val="04A0" w:firstRow="1" w:lastRow="0" w:firstColumn="1" w:lastColumn="0" w:noHBand="0" w:noVBand="1"/>
      </w:tblPr>
      <w:tblGrid>
        <w:gridCol w:w="3196"/>
        <w:gridCol w:w="3197"/>
        <w:gridCol w:w="4310"/>
      </w:tblGrid>
      <w:tr w:rsidR="00362D6A" w:rsidRPr="0052716E" w:rsidTr="006C6C45">
        <w:trPr>
          <w:trHeight w:val="833"/>
        </w:trPr>
        <w:tc>
          <w:tcPr>
            <w:tcW w:w="3196" w:type="dxa"/>
          </w:tcPr>
          <w:p w:rsidR="00362D6A" w:rsidRPr="0052716E" w:rsidRDefault="00745265" w:rsidP="00362D6A">
            <w:pPr>
              <w:pStyle w:val="Default"/>
              <w:rPr>
                <w:rFonts w:asciiTheme="minorHAnsi" w:hAnsiTheme="minorHAnsi"/>
                <w:b/>
                <w:sz w:val="21"/>
                <w:szCs w:val="21"/>
              </w:rPr>
            </w:pPr>
            <w:r w:rsidRPr="0052716E">
              <w:rPr>
                <w:rFonts w:asciiTheme="minorHAnsi" w:hAnsiTheme="minorHAnsi"/>
                <w:b/>
                <w:sz w:val="21"/>
                <w:szCs w:val="21"/>
              </w:rPr>
              <w:t>Key Indicators</w:t>
            </w:r>
          </w:p>
          <w:p w:rsidR="00362D6A" w:rsidRPr="0052716E" w:rsidRDefault="00362D6A">
            <w:pPr>
              <w:rPr>
                <w:b/>
                <w:sz w:val="21"/>
                <w:szCs w:val="21"/>
              </w:rPr>
            </w:pPr>
          </w:p>
        </w:tc>
        <w:tc>
          <w:tcPr>
            <w:tcW w:w="3197" w:type="dxa"/>
          </w:tcPr>
          <w:p w:rsidR="00362D6A" w:rsidRPr="0052716E" w:rsidRDefault="006C6C45" w:rsidP="00362D6A">
            <w:pPr>
              <w:pStyle w:val="Default"/>
              <w:rPr>
                <w:rFonts w:asciiTheme="minorHAnsi" w:hAnsiTheme="minorHAnsi"/>
                <w:b/>
                <w:sz w:val="21"/>
                <w:szCs w:val="21"/>
              </w:rPr>
            </w:pPr>
            <w:r w:rsidRPr="0052716E">
              <w:rPr>
                <w:rFonts w:asciiTheme="minorHAnsi" w:hAnsiTheme="minorHAnsi"/>
                <w:b/>
                <w:sz w:val="21"/>
                <w:szCs w:val="21"/>
              </w:rPr>
              <w:t>Key Priority</w:t>
            </w:r>
            <w:r w:rsidR="00362D6A" w:rsidRPr="0052716E">
              <w:rPr>
                <w:rFonts w:asciiTheme="minorHAnsi" w:hAnsiTheme="minorHAnsi"/>
                <w:b/>
                <w:sz w:val="21"/>
                <w:szCs w:val="21"/>
              </w:rPr>
              <w:t xml:space="preserve">/What worked well: </w:t>
            </w:r>
          </w:p>
          <w:p w:rsidR="00362D6A" w:rsidRPr="0052716E" w:rsidRDefault="00362D6A">
            <w:pPr>
              <w:rPr>
                <w:b/>
                <w:sz w:val="21"/>
                <w:szCs w:val="21"/>
              </w:rPr>
            </w:pPr>
          </w:p>
        </w:tc>
        <w:tc>
          <w:tcPr>
            <w:tcW w:w="4310" w:type="dxa"/>
          </w:tcPr>
          <w:p w:rsidR="00362D6A" w:rsidRPr="0052716E" w:rsidRDefault="00362D6A" w:rsidP="00362D6A">
            <w:pPr>
              <w:pStyle w:val="Default"/>
              <w:rPr>
                <w:rFonts w:asciiTheme="minorHAnsi" w:hAnsiTheme="minorHAnsi"/>
                <w:b/>
                <w:sz w:val="21"/>
                <w:szCs w:val="21"/>
              </w:rPr>
            </w:pPr>
            <w:r w:rsidRPr="0052716E">
              <w:rPr>
                <w:rFonts w:asciiTheme="minorHAnsi" w:hAnsiTheme="minorHAnsi"/>
                <w:b/>
                <w:sz w:val="21"/>
                <w:szCs w:val="21"/>
              </w:rPr>
              <w:t xml:space="preserve">Key Learning/What will change next year: </w:t>
            </w:r>
          </w:p>
          <w:p w:rsidR="00362D6A" w:rsidRPr="0052716E" w:rsidRDefault="00362D6A">
            <w:pPr>
              <w:rPr>
                <w:b/>
                <w:sz w:val="21"/>
                <w:szCs w:val="21"/>
              </w:rPr>
            </w:pPr>
          </w:p>
        </w:tc>
      </w:tr>
      <w:tr w:rsidR="00362D6A" w:rsidRPr="0052716E" w:rsidTr="006C6C45">
        <w:trPr>
          <w:trHeight w:val="1305"/>
        </w:trPr>
        <w:tc>
          <w:tcPr>
            <w:tcW w:w="3196" w:type="dxa"/>
          </w:tcPr>
          <w:p w:rsidR="00362D6A" w:rsidRPr="0052716E" w:rsidRDefault="006C6C45" w:rsidP="006C6C45">
            <w:pPr>
              <w:rPr>
                <w:sz w:val="21"/>
                <w:szCs w:val="21"/>
              </w:rPr>
            </w:pPr>
            <w:r w:rsidRPr="0052716E">
              <w:rPr>
                <w:b/>
                <w:color w:val="365F91" w:themeColor="accent1" w:themeShade="BF"/>
                <w:sz w:val="21"/>
                <w:szCs w:val="21"/>
              </w:rPr>
              <w:t xml:space="preserve">Key indicator 1: </w:t>
            </w:r>
            <w:r w:rsidRPr="0052716E">
              <w:rPr>
                <w:color w:val="365F91" w:themeColor="accent1" w:themeShade="BF"/>
                <w:sz w:val="21"/>
                <w:szCs w:val="21"/>
              </w:rPr>
              <w:t xml:space="preserve">The engagement of </w:t>
            </w:r>
            <w:r w:rsidRPr="0052716E">
              <w:rPr>
                <w:color w:val="365F91" w:themeColor="accent1" w:themeShade="BF"/>
                <w:sz w:val="21"/>
                <w:szCs w:val="21"/>
                <w:u w:val="single" w:color="0057A0"/>
              </w:rPr>
              <w:t>all</w:t>
            </w:r>
            <w:r w:rsidRPr="0052716E">
              <w:rPr>
                <w:color w:val="365F91" w:themeColor="accent1" w:themeShade="BF"/>
                <w:sz w:val="21"/>
                <w:szCs w:val="21"/>
              </w:rPr>
              <w:t xml:space="preserve"> pupils in regular physical activity – Chief Medical Officer guidelines recommend that primary school children undertake at least 30 minutes of physical activity a day in school</w:t>
            </w:r>
          </w:p>
        </w:tc>
        <w:tc>
          <w:tcPr>
            <w:tcW w:w="3197" w:type="dxa"/>
          </w:tcPr>
          <w:p w:rsidR="004E4538" w:rsidRPr="0052716E" w:rsidRDefault="004E4538" w:rsidP="004E4538">
            <w:pPr>
              <w:jc w:val="both"/>
              <w:rPr>
                <w:sz w:val="21"/>
                <w:szCs w:val="21"/>
              </w:rPr>
            </w:pPr>
            <w:r w:rsidRPr="0052716E">
              <w:rPr>
                <w:sz w:val="21"/>
                <w:szCs w:val="21"/>
              </w:rPr>
              <w:t>*Daily Mile- All KS1 and 2 classes took part daily. Noticeably improved concentration at the start of morning English and Maths sessions.</w:t>
            </w:r>
          </w:p>
          <w:p w:rsidR="004E4538" w:rsidRPr="0052716E" w:rsidRDefault="004E4538" w:rsidP="004E4538">
            <w:pPr>
              <w:jc w:val="both"/>
              <w:rPr>
                <w:sz w:val="21"/>
                <w:szCs w:val="21"/>
              </w:rPr>
            </w:pPr>
          </w:p>
          <w:p w:rsidR="00362D6A" w:rsidRPr="0052716E" w:rsidRDefault="004E4538" w:rsidP="004E4538">
            <w:pPr>
              <w:jc w:val="both"/>
              <w:rPr>
                <w:sz w:val="21"/>
                <w:szCs w:val="21"/>
              </w:rPr>
            </w:pPr>
            <w:r w:rsidRPr="0052716E">
              <w:rPr>
                <w:sz w:val="21"/>
                <w:szCs w:val="21"/>
              </w:rPr>
              <w:t>*</w:t>
            </w:r>
            <w:proofErr w:type="spellStart"/>
            <w:r w:rsidRPr="0052716E">
              <w:rPr>
                <w:sz w:val="21"/>
                <w:szCs w:val="21"/>
              </w:rPr>
              <w:t>Rota</w:t>
            </w:r>
            <w:proofErr w:type="spellEnd"/>
            <w:r w:rsidRPr="0052716E">
              <w:rPr>
                <w:sz w:val="21"/>
                <w:szCs w:val="21"/>
              </w:rPr>
              <w:t xml:space="preserve"> for class access to M.U.G.G.A.  </w:t>
            </w:r>
            <w:proofErr w:type="gramStart"/>
            <w:r w:rsidRPr="0052716E">
              <w:rPr>
                <w:sz w:val="21"/>
                <w:szCs w:val="21"/>
              </w:rPr>
              <w:t>during</w:t>
            </w:r>
            <w:proofErr w:type="gramEnd"/>
            <w:r w:rsidRPr="0052716E">
              <w:rPr>
                <w:sz w:val="21"/>
                <w:szCs w:val="21"/>
              </w:rPr>
              <w:t xml:space="preserve"> break and lunchtimes to increase the availability and range of activities on offer. </w:t>
            </w:r>
          </w:p>
        </w:tc>
        <w:tc>
          <w:tcPr>
            <w:tcW w:w="4310" w:type="dxa"/>
          </w:tcPr>
          <w:p w:rsidR="00362D6A" w:rsidRPr="0052716E" w:rsidRDefault="00C17897" w:rsidP="00D059AE">
            <w:pPr>
              <w:jc w:val="both"/>
              <w:rPr>
                <w:sz w:val="21"/>
                <w:szCs w:val="21"/>
              </w:rPr>
            </w:pPr>
            <w:r w:rsidRPr="0052716E">
              <w:rPr>
                <w:sz w:val="21"/>
                <w:szCs w:val="21"/>
              </w:rPr>
              <w:t>Increase the range of opportunities available during break and lunch tim</w:t>
            </w:r>
            <w:r w:rsidR="000E03A7" w:rsidRPr="0052716E">
              <w:rPr>
                <w:sz w:val="21"/>
                <w:szCs w:val="21"/>
              </w:rPr>
              <w:t>es in terms of sport and games.</w:t>
            </w:r>
          </w:p>
          <w:p w:rsidR="00C17897" w:rsidRPr="0052716E" w:rsidRDefault="00C17897" w:rsidP="00D059AE">
            <w:pPr>
              <w:jc w:val="both"/>
              <w:rPr>
                <w:sz w:val="21"/>
                <w:szCs w:val="21"/>
              </w:rPr>
            </w:pPr>
          </w:p>
          <w:p w:rsidR="00C17897" w:rsidRPr="0052716E" w:rsidRDefault="00C17897" w:rsidP="00D059AE">
            <w:pPr>
              <w:jc w:val="both"/>
              <w:rPr>
                <w:sz w:val="21"/>
                <w:szCs w:val="21"/>
              </w:rPr>
            </w:pPr>
          </w:p>
        </w:tc>
      </w:tr>
      <w:tr w:rsidR="000208E0" w:rsidRPr="0052716E" w:rsidTr="006C6C45">
        <w:trPr>
          <w:trHeight w:val="2712"/>
        </w:trPr>
        <w:tc>
          <w:tcPr>
            <w:tcW w:w="3196" w:type="dxa"/>
          </w:tcPr>
          <w:p w:rsidR="000208E0" w:rsidRPr="0052716E" w:rsidRDefault="006C6C45" w:rsidP="004E4538">
            <w:pPr>
              <w:pStyle w:val="NoSpacing"/>
              <w:rPr>
                <w:sz w:val="21"/>
                <w:szCs w:val="21"/>
              </w:rPr>
            </w:pPr>
            <w:r w:rsidRPr="0052716E">
              <w:rPr>
                <w:b/>
                <w:color w:val="365F91" w:themeColor="accent1" w:themeShade="BF"/>
                <w:sz w:val="21"/>
                <w:szCs w:val="21"/>
              </w:rPr>
              <w:t>Key indicator 2:</w:t>
            </w:r>
            <w:r w:rsidRPr="0052716E">
              <w:rPr>
                <w:color w:val="365F91" w:themeColor="accent1" w:themeShade="BF"/>
                <w:sz w:val="21"/>
                <w:szCs w:val="21"/>
              </w:rPr>
              <w:t xml:space="preserve"> The profile of PE and sport being raised across the school as a tool for whole school improvement </w:t>
            </w:r>
          </w:p>
        </w:tc>
        <w:tc>
          <w:tcPr>
            <w:tcW w:w="3197" w:type="dxa"/>
          </w:tcPr>
          <w:p w:rsidR="000208E0" w:rsidRPr="0052716E" w:rsidRDefault="004E4538" w:rsidP="004E4538">
            <w:pPr>
              <w:jc w:val="both"/>
              <w:rPr>
                <w:sz w:val="21"/>
                <w:szCs w:val="21"/>
              </w:rPr>
            </w:pPr>
            <w:r w:rsidRPr="0052716E">
              <w:rPr>
                <w:sz w:val="21"/>
                <w:szCs w:val="21"/>
              </w:rPr>
              <w:t>*Assemblies focused on raising aspirations with a particular link to sport. Sporting profiles of past pupils such as Demi Stokes and Bali Mumba were shared to support this. Displays in school environment further raised the profile of sporting achievements in the school.</w:t>
            </w:r>
          </w:p>
          <w:p w:rsidR="004E4538" w:rsidRPr="0052716E" w:rsidRDefault="004E4538" w:rsidP="004E4538">
            <w:pPr>
              <w:jc w:val="both"/>
              <w:rPr>
                <w:sz w:val="21"/>
                <w:szCs w:val="21"/>
              </w:rPr>
            </w:pPr>
          </w:p>
          <w:p w:rsidR="004E4538" w:rsidRPr="0052716E" w:rsidRDefault="004E4538" w:rsidP="004E4538">
            <w:pPr>
              <w:jc w:val="both"/>
              <w:rPr>
                <w:sz w:val="21"/>
                <w:szCs w:val="21"/>
              </w:rPr>
            </w:pPr>
            <w:r w:rsidRPr="0052716E">
              <w:rPr>
                <w:sz w:val="21"/>
                <w:szCs w:val="21"/>
              </w:rPr>
              <w:t>*Raising the profile of sport and the enjoyment of this supported behaviour management in the school and overall improvement in gross motor skills.</w:t>
            </w:r>
          </w:p>
          <w:p w:rsidR="004E4538" w:rsidRPr="0052716E" w:rsidRDefault="004E4538" w:rsidP="004E4538">
            <w:pPr>
              <w:jc w:val="both"/>
              <w:rPr>
                <w:sz w:val="21"/>
                <w:szCs w:val="21"/>
              </w:rPr>
            </w:pPr>
          </w:p>
          <w:p w:rsidR="004E4538" w:rsidRPr="0052716E" w:rsidRDefault="004E4538" w:rsidP="004E4538">
            <w:pPr>
              <w:jc w:val="both"/>
              <w:rPr>
                <w:sz w:val="21"/>
                <w:szCs w:val="21"/>
              </w:rPr>
            </w:pPr>
            <w:r w:rsidRPr="0052716E">
              <w:rPr>
                <w:sz w:val="21"/>
                <w:szCs w:val="21"/>
              </w:rPr>
              <w:t>*</w:t>
            </w:r>
            <w:r w:rsidR="005A4969" w:rsidRPr="0052716E">
              <w:rPr>
                <w:sz w:val="21"/>
                <w:szCs w:val="21"/>
              </w:rPr>
              <w:t>Raising profile of sport and exercise helped to illustrate the health benefits in terms of fitness and good mental health as outline in the SDP.</w:t>
            </w:r>
          </w:p>
        </w:tc>
        <w:tc>
          <w:tcPr>
            <w:tcW w:w="4310" w:type="dxa"/>
          </w:tcPr>
          <w:p w:rsidR="000208E0" w:rsidRPr="0052716E" w:rsidRDefault="000E03A7" w:rsidP="00D059AE">
            <w:pPr>
              <w:jc w:val="both"/>
              <w:rPr>
                <w:sz w:val="21"/>
                <w:szCs w:val="21"/>
              </w:rPr>
            </w:pPr>
            <w:r w:rsidRPr="0052716E">
              <w:rPr>
                <w:sz w:val="21"/>
                <w:szCs w:val="21"/>
              </w:rPr>
              <w:t xml:space="preserve">*Make links with local clubs and associations to introduce children to </w:t>
            </w:r>
            <w:r w:rsidR="00D059AE" w:rsidRPr="0052716E">
              <w:rPr>
                <w:sz w:val="21"/>
                <w:szCs w:val="21"/>
              </w:rPr>
              <w:t xml:space="preserve">local sports professionals, stir interest and raise aspirations. </w:t>
            </w:r>
          </w:p>
          <w:p w:rsidR="00D059AE" w:rsidRPr="0052716E" w:rsidRDefault="00D059AE" w:rsidP="00D059AE">
            <w:pPr>
              <w:jc w:val="both"/>
              <w:rPr>
                <w:sz w:val="21"/>
                <w:szCs w:val="21"/>
              </w:rPr>
            </w:pPr>
          </w:p>
          <w:p w:rsidR="00D059AE" w:rsidRPr="0052716E" w:rsidRDefault="00D059AE" w:rsidP="00D059AE">
            <w:pPr>
              <w:jc w:val="both"/>
              <w:rPr>
                <w:sz w:val="21"/>
                <w:szCs w:val="21"/>
              </w:rPr>
            </w:pPr>
            <w:r w:rsidRPr="0052716E">
              <w:rPr>
                <w:sz w:val="21"/>
                <w:szCs w:val="21"/>
              </w:rPr>
              <w:t>*Visit various sporting arenas/venues as spectators to competitive events to increase their cultural capital and broaden their experiences. This will help to give the sport context and increase understanding and knowledge of the sports covered.</w:t>
            </w:r>
          </w:p>
          <w:p w:rsidR="00D059AE" w:rsidRPr="0052716E" w:rsidRDefault="00D059AE" w:rsidP="00D059AE">
            <w:pPr>
              <w:jc w:val="both"/>
              <w:rPr>
                <w:sz w:val="21"/>
                <w:szCs w:val="21"/>
              </w:rPr>
            </w:pPr>
          </w:p>
          <w:p w:rsidR="00D059AE" w:rsidRPr="0052716E" w:rsidRDefault="00D059AE" w:rsidP="00D059AE">
            <w:pPr>
              <w:jc w:val="both"/>
              <w:rPr>
                <w:sz w:val="21"/>
                <w:szCs w:val="21"/>
              </w:rPr>
            </w:pPr>
            <w:r w:rsidRPr="0052716E">
              <w:rPr>
                <w:sz w:val="21"/>
                <w:szCs w:val="21"/>
              </w:rPr>
              <w:t>*Use the school environment to further promote sport and the health/wellbeing benefits that it brings.</w:t>
            </w:r>
          </w:p>
          <w:p w:rsidR="00D059AE" w:rsidRPr="0052716E" w:rsidRDefault="00D059AE" w:rsidP="00D059AE">
            <w:pPr>
              <w:jc w:val="both"/>
              <w:rPr>
                <w:sz w:val="21"/>
                <w:szCs w:val="21"/>
              </w:rPr>
            </w:pPr>
          </w:p>
          <w:p w:rsidR="00D059AE" w:rsidRPr="0052716E" w:rsidRDefault="00D059AE" w:rsidP="00D059AE">
            <w:pPr>
              <w:jc w:val="both"/>
              <w:rPr>
                <w:sz w:val="21"/>
                <w:szCs w:val="21"/>
              </w:rPr>
            </w:pPr>
          </w:p>
        </w:tc>
      </w:tr>
      <w:tr w:rsidR="000208E0" w:rsidRPr="0052716E" w:rsidTr="00C17897">
        <w:trPr>
          <w:trHeight w:val="1353"/>
        </w:trPr>
        <w:tc>
          <w:tcPr>
            <w:tcW w:w="3196" w:type="dxa"/>
          </w:tcPr>
          <w:p w:rsidR="000208E0" w:rsidRPr="0052716E" w:rsidRDefault="006C6C45" w:rsidP="000208E0">
            <w:pPr>
              <w:rPr>
                <w:sz w:val="21"/>
                <w:szCs w:val="21"/>
              </w:rPr>
            </w:pPr>
            <w:r w:rsidRPr="0052716E">
              <w:rPr>
                <w:b/>
                <w:color w:val="365F91" w:themeColor="accent1" w:themeShade="BF"/>
                <w:sz w:val="21"/>
                <w:szCs w:val="21"/>
              </w:rPr>
              <w:t xml:space="preserve">Key indicator 3: </w:t>
            </w:r>
            <w:r w:rsidRPr="0052716E">
              <w:rPr>
                <w:color w:val="365F91" w:themeColor="accent1" w:themeShade="BF"/>
                <w:sz w:val="21"/>
                <w:szCs w:val="21"/>
              </w:rPr>
              <w:t>Increased confidence, knowledge and skills of all staff in teaching PE and sport</w:t>
            </w:r>
          </w:p>
        </w:tc>
        <w:tc>
          <w:tcPr>
            <w:tcW w:w="3197" w:type="dxa"/>
          </w:tcPr>
          <w:p w:rsidR="000208E0" w:rsidRPr="0052716E" w:rsidRDefault="005A4969" w:rsidP="0052716E">
            <w:pPr>
              <w:jc w:val="both"/>
              <w:rPr>
                <w:sz w:val="21"/>
                <w:szCs w:val="21"/>
              </w:rPr>
            </w:pPr>
            <w:r w:rsidRPr="0052716E">
              <w:rPr>
                <w:sz w:val="21"/>
                <w:szCs w:val="21"/>
              </w:rPr>
              <w:t>*Staff</w:t>
            </w:r>
            <w:r w:rsidR="00AE1C3E" w:rsidRPr="0052716E">
              <w:rPr>
                <w:sz w:val="21"/>
                <w:szCs w:val="21"/>
              </w:rPr>
              <w:t xml:space="preserve"> able to lead sessions with confidence following careful modelling by coaches i.e. gymnastics and yoga etc. </w:t>
            </w:r>
          </w:p>
        </w:tc>
        <w:tc>
          <w:tcPr>
            <w:tcW w:w="4310" w:type="dxa"/>
          </w:tcPr>
          <w:p w:rsidR="000208E0" w:rsidRPr="0052716E" w:rsidRDefault="0052716E" w:rsidP="0052716E">
            <w:pPr>
              <w:jc w:val="both"/>
              <w:rPr>
                <w:sz w:val="21"/>
                <w:szCs w:val="21"/>
              </w:rPr>
            </w:pPr>
            <w:r w:rsidRPr="0052716E">
              <w:rPr>
                <w:sz w:val="21"/>
                <w:szCs w:val="21"/>
              </w:rPr>
              <w:t>*</w:t>
            </w:r>
            <w:r w:rsidR="00D059AE" w:rsidRPr="0052716E">
              <w:rPr>
                <w:sz w:val="21"/>
                <w:szCs w:val="21"/>
              </w:rPr>
              <w:t>Continue to increase the range of coaching opport</w:t>
            </w:r>
            <w:r w:rsidRPr="0052716E">
              <w:rPr>
                <w:sz w:val="21"/>
                <w:szCs w:val="21"/>
              </w:rPr>
              <w:t>unities with further CPD for staff.</w:t>
            </w:r>
          </w:p>
          <w:p w:rsidR="0052716E" w:rsidRPr="0052716E" w:rsidRDefault="0052716E" w:rsidP="0052716E">
            <w:pPr>
              <w:jc w:val="both"/>
              <w:rPr>
                <w:sz w:val="21"/>
                <w:szCs w:val="21"/>
              </w:rPr>
            </w:pPr>
            <w:r w:rsidRPr="0052716E">
              <w:rPr>
                <w:sz w:val="21"/>
                <w:szCs w:val="21"/>
              </w:rPr>
              <w:t>*Staff audit of knowledge of skills in PE and Sport. Use this to target appropriate CPD.</w:t>
            </w:r>
          </w:p>
        </w:tc>
      </w:tr>
      <w:tr w:rsidR="000208E0" w:rsidRPr="0052716E" w:rsidTr="006C6C45">
        <w:trPr>
          <w:trHeight w:val="1352"/>
        </w:trPr>
        <w:tc>
          <w:tcPr>
            <w:tcW w:w="3196" w:type="dxa"/>
          </w:tcPr>
          <w:p w:rsidR="006C6C45" w:rsidRPr="0052716E" w:rsidRDefault="006C6C45" w:rsidP="006C6C45">
            <w:pPr>
              <w:rPr>
                <w:color w:val="365F91" w:themeColor="accent1" w:themeShade="BF"/>
                <w:sz w:val="21"/>
                <w:szCs w:val="21"/>
              </w:rPr>
            </w:pPr>
            <w:r w:rsidRPr="0052716E">
              <w:rPr>
                <w:b/>
                <w:color w:val="365F91" w:themeColor="accent1" w:themeShade="BF"/>
                <w:sz w:val="21"/>
                <w:szCs w:val="21"/>
              </w:rPr>
              <w:t>Key indicator 4:</w:t>
            </w:r>
            <w:r w:rsidRPr="0052716E">
              <w:rPr>
                <w:color w:val="365F91" w:themeColor="accent1" w:themeShade="BF"/>
                <w:sz w:val="21"/>
                <w:szCs w:val="21"/>
              </w:rPr>
              <w:t xml:space="preserve"> Broader experience of a range of sports and activities offered to all pupils</w:t>
            </w:r>
          </w:p>
          <w:p w:rsidR="000208E0" w:rsidRPr="0052716E" w:rsidRDefault="000208E0" w:rsidP="000208E0">
            <w:pPr>
              <w:rPr>
                <w:sz w:val="21"/>
                <w:szCs w:val="21"/>
              </w:rPr>
            </w:pPr>
          </w:p>
        </w:tc>
        <w:tc>
          <w:tcPr>
            <w:tcW w:w="3197" w:type="dxa"/>
          </w:tcPr>
          <w:p w:rsidR="000208E0" w:rsidRPr="0052716E" w:rsidRDefault="00AE1C3E" w:rsidP="0052716E">
            <w:pPr>
              <w:jc w:val="both"/>
              <w:rPr>
                <w:sz w:val="21"/>
                <w:szCs w:val="21"/>
              </w:rPr>
            </w:pPr>
            <w:r w:rsidRPr="0052716E">
              <w:rPr>
                <w:sz w:val="21"/>
                <w:szCs w:val="21"/>
              </w:rPr>
              <w:t xml:space="preserve">Children participated in Yoga, Gymnastics, Tennis, Football, Handball, Mini-Golf, Swimming, Orienteering and Climbing. </w:t>
            </w:r>
          </w:p>
        </w:tc>
        <w:tc>
          <w:tcPr>
            <w:tcW w:w="4310" w:type="dxa"/>
          </w:tcPr>
          <w:p w:rsidR="000208E0" w:rsidRPr="0052716E" w:rsidRDefault="0052716E" w:rsidP="0052716E">
            <w:pPr>
              <w:jc w:val="both"/>
              <w:rPr>
                <w:sz w:val="21"/>
                <w:szCs w:val="21"/>
              </w:rPr>
            </w:pPr>
            <w:r w:rsidRPr="0052716E">
              <w:rPr>
                <w:sz w:val="21"/>
                <w:szCs w:val="21"/>
              </w:rPr>
              <w:t xml:space="preserve">*Consider rolling programme of Sport development in school so that children consolidate learning and build on skills with regular and repeated practice. </w:t>
            </w:r>
          </w:p>
        </w:tc>
      </w:tr>
      <w:tr w:rsidR="006C6C45" w:rsidRPr="0052716E" w:rsidTr="00C17897">
        <w:trPr>
          <w:trHeight w:val="699"/>
        </w:trPr>
        <w:tc>
          <w:tcPr>
            <w:tcW w:w="3196" w:type="dxa"/>
          </w:tcPr>
          <w:p w:rsidR="006C6C45" w:rsidRPr="0052716E" w:rsidRDefault="006C6C45" w:rsidP="006C6C45">
            <w:pPr>
              <w:rPr>
                <w:b/>
                <w:color w:val="365F91" w:themeColor="accent1" w:themeShade="BF"/>
                <w:sz w:val="21"/>
                <w:szCs w:val="21"/>
              </w:rPr>
            </w:pPr>
            <w:r w:rsidRPr="0052716E">
              <w:rPr>
                <w:b/>
                <w:color w:val="365F91" w:themeColor="accent1" w:themeShade="BF"/>
                <w:sz w:val="21"/>
                <w:szCs w:val="21"/>
              </w:rPr>
              <w:t>Key indicator 5</w:t>
            </w:r>
            <w:r w:rsidRPr="0052716E">
              <w:rPr>
                <w:color w:val="365F91" w:themeColor="accent1" w:themeShade="BF"/>
                <w:sz w:val="21"/>
                <w:szCs w:val="21"/>
              </w:rPr>
              <w:t>: Increased participation in competitive sport</w:t>
            </w:r>
          </w:p>
        </w:tc>
        <w:tc>
          <w:tcPr>
            <w:tcW w:w="3197" w:type="dxa"/>
          </w:tcPr>
          <w:p w:rsidR="006C6C45" w:rsidRPr="0052716E" w:rsidRDefault="00C17897" w:rsidP="0052716E">
            <w:pPr>
              <w:jc w:val="both"/>
              <w:rPr>
                <w:sz w:val="21"/>
                <w:szCs w:val="21"/>
              </w:rPr>
            </w:pPr>
            <w:r w:rsidRPr="0052716E">
              <w:rPr>
                <w:sz w:val="21"/>
                <w:szCs w:val="21"/>
              </w:rPr>
              <w:t>Regul</w:t>
            </w:r>
            <w:r w:rsidR="0052716E" w:rsidRPr="0052716E">
              <w:rPr>
                <w:sz w:val="21"/>
                <w:szCs w:val="21"/>
              </w:rPr>
              <w:t xml:space="preserve">ar participation in competitive </w:t>
            </w:r>
            <w:r w:rsidRPr="0052716E">
              <w:rPr>
                <w:sz w:val="21"/>
                <w:szCs w:val="21"/>
              </w:rPr>
              <w:t xml:space="preserve">inter-school competitions such as Tennis, Indoor Athletics and </w:t>
            </w:r>
            <w:proofErr w:type="spellStart"/>
            <w:r w:rsidRPr="0052716E">
              <w:rPr>
                <w:sz w:val="21"/>
                <w:szCs w:val="21"/>
              </w:rPr>
              <w:t>Mulit</w:t>
            </w:r>
            <w:proofErr w:type="spellEnd"/>
            <w:r w:rsidRPr="0052716E">
              <w:rPr>
                <w:sz w:val="21"/>
                <w:szCs w:val="21"/>
              </w:rPr>
              <w:t xml:space="preserve">-Skills. </w:t>
            </w:r>
          </w:p>
          <w:p w:rsidR="00C17897" w:rsidRPr="0052716E" w:rsidRDefault="00C17897" w:rsidP="0052716E">
            <w:pPr>
              <w:jc w:val="both"/>
              <w:rPr>
                <w:sz w:val="21"/>
                <w:szCs w:val="21"/>
              </w:rPr>
            </w:pPr>
          </w:p>
          <w:p w:rsidR="00C17897" w:rsidRPr="0052716E" w:rsidRDefault="00C17897" w:rsidP="0052716E">
            <w:pPr>
              <w:jc w:val="both"/>
              <w:rPr>
                <w:sz w:val="21"/>
                <w:szCs w:val="21"/>
              </w:rPr>
            </w:pPr>
            <w:r w:rsidRPr="0052716E">
              <w:rPr>
                <w:sz w:val="21"/>
                <w:szCs w:val="21"/>
              </w:rPr>
              <w:t>Badminton and Karate taster sessions. Children continue to engage in these activities in their own time at local clubs</w:t>
            </w:r>
          </w:p>
        </w:tc>
        <w:tc>
          <w:tcPr>
            <w:tcW w:w="4310" w:type="dxa"/>
          </w:tcPr>
          <w:p w:rsidR="006C6C45" w:rsidRPr="0052716E" w:rsidRDefault="0052716E" w:rsidP="0052716E">
            <w:pPr>
              <w:jc w:val="both"/>
              <w:rPr>
                <w:sz w:val="21"/>
                <w:szCs w:val="21"/>
              </w:rPr>
            </w:pPr>
            <w:r w:rsidRPr="0052716E">
              <w:rPr>
                <w:sz w:val="21"/>
                <w:szCs w:val="21"/>
              </w:rPr>
              <w:t xml:space="preserve">*Use the opportunities to aid identification of children who display a particular talent in relation to the sports played. </w:t>
            </w:r>
          </w:p>
        </w:tc>
      </w:tr>
    </w:tbl>
    <w:p w:rsidR="0052716E" w:rsidRDefault="0052716E" w:rsidP="000208E0">
      <w:pPr>
        <w:rPr>
          <w:b/>
          <w:sz w:val="28"/>
          <w:szCs w:val="28"/>
          <w:u w:val="single"/>
        </w:rPr>
      </w:pPr>
    </w:p>
    <w:p w:rsidR="000208E0" w:rsidRPr="000208E0" w:rsidRDefault="000208E0" w:rsidP="000208E0">
      <w:pPr>
        <w:rPr>
          <w:b/>
          <w:sz w:val="28"/>
          <w:szCs w:val="28"/>
          <w:u w:val="single"/>
        </w:rPr>
      </w:pPr>
      <w:r w:rsidRPr="000208E0">
        <w:rPr>
          <w:b/>
          <w:sz w:val="28"/>
          <w:szCs w:val="28"/>
          <w:u w:val="single"/>
        </w:rPr>
        <w:t>Review of pre</w:t>
      </w:r>
      <w:r w:rsidR="006C6C45">
        <w:rPr>
          <w:b/>
          <w:sz w:val="28"/>
          <w:szCs w:val="28"/>
          <w:u w:val="single"/>
        </w:rPr>
        <w:t>vious year’s spending (2018-19</w:t>
      </w:r>
      <w:r w:rsidRPr="000208E0">
        <w:rPr>
          <w:b/>
          <w:sz w:val="28"/>
          <w:szCs w:val="28"/>
          <w:u w:val="single"/>
        </w:rPr>
        <w:t>)</w:t>
      </w:r>
    </w:p>
    <w:tbl>
      <w:tblPr>
        <w:tblStyle w:val="TableGrid"/>
        <w:tblW w:w="0" w:type="auto"/>
        <w:tblLook w:val="04A0" w:firstRow="1" w:lastRow="0" w:firstColumn="1" w:lastColumn="0" w:noHBand="0" w:noVBand="1"/>
      </w:tblPr>
      <w:tblGrid>
        <w:gridCol w:w="3029"/>
        <w:gridCol w:w="7427"/>
      </w:tblGrid>
      <w:tr w:rsidR="006C6C45" w:rsidTr="006C6C45">
        <w:trPr>
          <w:trHeight w:val="594"/>
        </w:trPr>
        <w:tc>
          <w:tcPr>
            <w:tcW w:w="3074" w:type="dxa"/>
          </w:tcPr>
          <w:p w:rsidR="006C6C45" w:rsidRPr="008B1571" w:rsidRDefault="006C6C45" w:rsidP="0072443C">
            <w:pPr>
              <w:rPr>
                <w:b/>
                <w:sz w:val="24"/>
                <w:szCs w:val="24"/>
              </w:rPr>
            </w:pPr>
            <w:r w:rsidRPr="008B1571">
              <w:rPr>
                <w:b/>
                <w:sz w:val="24"/>
                <w:szCs w:val="24"/>
              </w:rPr>
              <w:t>Transport</w:t>
            </w:r>
          </w:p>
        </w:tc>
        <w:tc>
          <w:tcPr>
            <w:tcW w:w="7607" w:type="dxa"/>
          </w:tcPr>
          <w:p w:rsidR="006C6C45" w:rsidRPr="008B1571" w:rsidRDefault="006C6C45" w:rsidP="0072443C">
            <w:pPr>
              <w:rPr>
                <w:sz w:val="24"/>
                <w:szCs w:val="24"/>
              </w:rPr>
            </w:pPr>
            <w:r w:rsidRPr="008B1571">
              <w:rPr>
                <w:sz w:val="24"/>
                <w:szCs w:val="24"/>
              </w:rPr>
              <w:t xml:space="preserve"> £459.60</w:t>
            </w:r>
          </w:p>
          <w:p w:rsidR="006C6C45" w:rsidRPr="008B1571" w:rsidRDefault="006C6C45" w:rsidP="0072443C">
            <w:pPr>
              <w:rPr>
                <w:sz w:val="24"/>
                <w:szCs w:val="24"/>
              </w:rPr>
            </w:pPr>
          </w:p>
        </w:tc>
      </w:tr>
      <w:tr w:rsidR="006C6C45" w:rsidTr="006C6C45">
        <w:trPr>
          <w:trHeight w:val="594"/>
        </w:trPr>
        <w:tc>
          <w:tcPr>
            <w:tcW w:w="3074" w:type="dxa"/>
          </w:tcPr>
          <w:p w:rsidR="006C6C45" w:rsidRPr="008B1571" w:rsidRDefault="006C6C45" w:rsidP="0072443C">
            <w:pPr>
              <w:rPr>
                <w:b/>
                <w:sz w:val="24"/>
                <w:szCs w:val="24"/>
              </w:rPr>
            </w:pPr>
            <w:r w:rsidRPr="008B1571">
              <w:rPr>
                <w:b/>
                <w:sz w:val="24"/>
                <w:szCs w:val="24"/>
              </w:rPr>
              <w:t>Coaching</w:t>
            </w:r>
          </w:p>
        </w:tc>
        <w:tc>
          <w:tcPr>
            <w:tcW w:w="7607" w:type="dxa"/>
          </w:tcPr>
          <w:p w:rsidR="006C6C45" w:rsidRPr="008B1571" w:rsidRDefault="006C6C45" w:rsidP="0072443C">
            <w:pPr>
              <w:rPr>
                <w:sz w:val="24"/>
                <w:szCs w:val="24"/>
              </w:rPr>
            </w:pPr>
            <w:r w:rsidRPr="008B1571">
              <w:rPr>
                <w:sz w:val="24"/>
                <w:szCs w:val="24"/>
              </w:rPr>
              <w:t xml:space="preserve"> £11342</w:t>
            </w:r>
          </w:p>
          <w:p w:rsidR="006C6C45" w:rsidRPr="008B1571" w:rsidRDefault="006C6C45" w:rsidP="0072443C">
            <w:pPr>
              <w:rPr>
                <w:sz w:val="24"/>
                <w:szCs w:val="24"/>
              </w:rPr>
            </w:pPr>
          </w:p>
        </w:tc>
      </w:tr>
      <w:tr w:rsidR="006C6C45" w:rsidTr="006C6C45">
        <w:trPr>
          <w:trHeight w:val="594"/>
        </w:trPr>
        <w:tc>
          <w:tcPr>
            <w:tcW w:w="3074" w:type="dxa"/>
          </w:tcPr>
          <w:p w:rsidR="006C6C45" w:rsidRPr="008B1571" w:rsidRDefault="006C6C45" w:rsidP="0072443C">
            <w:pPr>
              <w:rPr>
                <w:b/>
                <w:sz w:val="24"/>
                <w:szCs w:val="24"/>
              </w:rPr>
            </w:pPr>
            <w:r w:rsidRPr="008B1571">
              <w:rPr>
                <w:b/>
                <w:sz w:val="24"/>
                <w:szCs w:val="24"/>
              </w:rPr>
              <w:t xml:space="preserve">Community Network  </w:t>
            </w:r>
          </w:p>
        </w:tc>
        <w:tc>
          <w:tcPr>
            <w:tcW w:w="7607" w:type="dxa"/>
          </w:tcPr>
          <w:p w:rsidR="006C6C45" w:rsidRPr="008B1571" w:rsidRDefault="006C6C45" w:rsidP="0072443C">
            <w:pPr>
              <w:rPr>
                <w:sz w:val="24"/>
                <w:szCs w:val="24"/>
              </w:rPr>
            </w:pPr>
            <w:r w:rsidRPr="008B1571">
              <w:rPr>
                <w:sz w:val="24"/>
                <w:szCs w:val="24"/>
              </w:rPr>
              <w:t>£2250</w:t>
            </w:r>
          </w:p>
          <w:p w:rsidR="006C6C45" w:rsidRPr="008B1571" w:rsidRDefault="006C6C45" w:rsidP="0072443C">
            <w:pPr>
              <w:rPr>
                <w:sz w:val="24"/>
                <w:szCs w:val="24"/>
              </w:rPr>
            </w:pPr>
          </w:p>
        </w:tc>
      </w:tr>
      <w:tr w:rsidR="006C6C45" w:rsidTr="006C6C45">
        <w:trPr>
          <w:trHeight w:val="575"/>
        </w:trPr>
        <w:tc>
          <w:tcPr>
            <w:tcW w:w="3074" w:type="dxa"/>
          </w:tcPr>
          <w:p w:rsidR="006C6C45" w:rsidRPr="008B1571" w:rsidRDefault="006C6C45" w:rsidP="0072443C">
            <w:pPr>
              <w:rPr>
                <w:b/>
                <w:sz w:val="24"/>
                <w:szCs w:val="24"/>
              </w:rPr>
            </w:pPr>
            <w:r w:rsidRPr="008B1571">
              <w:rPr>
                <w:b/>
                <w:sz w:val="24"/>
                <w:szCs w:val="24"/>
              </w:rPr>
              <w:t xml:space="preserve">Top-up swimming  </w:t>
            </w:r>
          </w:p>
        </w:tc>
        <w:tc>
          <w:tcPr>
            <w:tcW w:w="7607" w:type="dxa"/>
          </w:tcPr>
          <w:p w:rsidR="006C6C45" w:rsidRPr="008B1571" w:rsidRDefault="006C6C45" w:rsidP="0072443C">
            <w:pPr>
              <w:rPr>
                <w:sz w:val="24"/>
                <w:szCs w:val="24"/>
              </w:rPr>
            </w:pPr>
            <w:r w:rsidRPr="008B1571">
              <w:rPr>
                <w:sz w:val="24"/>
                <w:szCs w:val="24"/>
              </w:rPr>
              <w:t>£567</w:t>
            </w:r>
          </w:p>
          <w:p w:rsidR="006C6C45" w:rsidRPr="008B1571" w:rsidRDefault="006C6C45" w:rsidP="0072443C">
            <w:pPr>
              <w:rPr>
                <w:sz w:val="24"/>
                <w:szCs w:val="24"/>
              </w:rPr>
            </w:pPr>
          </w:p>
        </w:tc>
      </w:tr>
      <w:tr w:rsidR="006C6C45" w:rsidTr="006C6C45">
        <w:trPr>
          <w:trHeight w:val="306"/>
        </w:trPr>
        <w:tc>
          <w:tcPr>
            <w:tcW w:w="3074" w:type="dxa"/>
          </w:tcPr>
          <w:p w:rsidR="006C6C45" w:rsidRPr="008B1571" w:rsidRDefault="006C6C45" w:rsidP="0072443C">
            <w:pPr>
              <w:rPr>
                <w:b/>
                <w:sz w:val="24"/>
                <w:szCs w:val="24"/>
              </w:rPr>
            </w:pPr>
            <w:r w:rsidRPr="008B1571">
              <w:rPr>
                <w:b/>
                <w:sz w:val="24"/>
                <w:szCs w:val="24"/>
              </w:rPr>
              <w:t>Equipment</w:t>
            </w:r>
          </w:p>
        </w:tc>
        <w:tc>
          <w:tcPr>
            <w:tcW w:w="7607" w:type="dxa"/>
          </w:tcPr>
          <w:p w:rsidR="006C6C45" w:rsidRPr="008B1571" w:rsidRDefault="006C6C45" w:rsidP="0072443C">
            <w:pPr>
              <w:rPr>
                <w:sz w:val="24"/>
                <w:szCs w:val="24"/>
              </w:rPr>
            </w:pPr>
            <w:r w:rsidRPr="008B1571">
              <w:rPr>
                <w:sz w:val="24"/>
                <w:szCs w:val="24"/>
              </w:rPr>
              <w:t>£629.08</w:t>
            </w:r>
          </w:p>
        </w:tc>
      </w:tr>
      <w:tr w:rsidR="006C6C45" w:rsidTr="006C6C45">
        <w:trPr>
          <w:trHeight w:val="594"/>
        </w:trPr>
        <w:tc>
          <w:tcPr>
            <w:tcW w:w="3074" w:type="dxa"/>
          </w:tcPr>
          <w:p w:rsidR="006C6C45" w:rsidRPr="008B1571" w:rsidRDefault="006C6C45" w:rsidP="0072443C">
            <w:pPr>
              <w:rPr>
                <w:b/>
                <w:sz w:val="24"/>
                <w:szCs w:val="24"/>
              </w:rPr>
            </w:pPr>
            <w:r w:rsidRPr="008B1571">
              <w:rPr>
                <w:b/>
                <w:sz w:val="24"/>
                <w:szCs w:val="24"/>
              </w:rPr>
              <w:t xml:space="preserve">League membership   </w:t>
            </w:r>
          </w:p>
        </w:tc>
        <w:tc>
          <w:tcPr>
            <w:tcW w:w="7607" w:type="dxa"/>
          </w:tcPr>
          <w:p w:rsidR="006C6C45" w:rsidRPr="008B1571" w:rsidRDefault="006C6C45" w:rsidP="0072443C">
            <w:pPr>
              <w:rPr>
                <w:sz w:val="24"/>
                <w:szCs w:val="24"/>
              </w:rPr>
            </w:pPr>
            <w:r w:rsidRPr="008B1571">
              <w:rPr>
                <w:sz w:val="24"/>
                <w:szCs w:val="24"/>
              </w:rPr>
              <w:t>£80</w:t>
            </w:r>
          </w:p>
          <w:p w:rsidR="006C6C45" w:rsidRPr="008B1571" w:rsidRDefault="006C6C45" w:rsidP="0072443C">
            <w:pPr>
              <w:rPr>
                <w:sz w:val="24"/>
                <w:szCs w:val="24"/>
              </w:rPr>
            </w:pPr>
          </w:p>
        </w:tc>
      </w:tr>
      <w:tr w:rsidR="006C6C45" w:rsidTr="006C6C45">
        <w:trPr>
          <w:trHeight w:val="364"/>
        </w:trPr>
        <w:tc>
          <w:tcPr>
            <w:tcW w:w="3074" w:type="dxa"/>
          </w:tcPr>
          <w:p w:rsidR="006C6C45" w:rsidRPr="008B1571" w:rsidRDefault="006C6C45" w:rsidP="0072443C">
            <w:pPr>
              <w:rPr>
                <w:b/>
                <w:sz w:val="32"/>
                <w:szCs w:val="32"/>
              </w:rPr>
            </w:pPr>
            <w:r w:rsidRPr="008B1571">
              <w:rPr>
                <w:b/>
                <w:sz w:val="32"/>
                <w:szCs w:val="32"/>
              </w:rPr>
              <w:t xml:space="preserve">Total spend     </w:t>
            </w:r>
          </w:p>
        </w:tc>
        <w:tc>
          <w:tcPr>
            <w:tcW w:w="7607" w:type="dxa"/>
          </w:tcPr>
          <w:p w:rsidR="006C6C45" w:rsidRPr="008B1571" w:rsidRDefault="006C6C45" w:rsidP="0072443C">
            <w:pPr>
              <w:rPr>
                <w:sz w:val="24"/>
                <w:szCs w:val="24"/>
              </w:rPr>
            </w:pPr>
            <w:r w:rsidRPr="008B1571">
              <w:rPr>
                <w:sz w:val="24"/>
                <w:szCs w:val="24"/>
              </w:rPr>
              <w:t>£15327.68</w:t>
            </w:r>
          </w:p>
        </w:tc>
      </w:tr>
    </w:tbl>
    <w:p w:rsidR="000208E0" w:rsidRPr="006C6C45" w:rsidRDefault="000208E0" w:rsidP="006C6C45">
      <w:pPr>
        <w:tabs>
          <w:tab w:val="left" w:pos="1608"/>
        </w:tabs>
      </w:pPr>
    </w:p>
    <w:sectPr w:rsidR="000208E0" w:rsidRPr="006C6C45" w:rsidSect="000208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6A"/>
    <w:rsid w:val="000208E0"/>
    <w:rsid w:val="000E03A7"/>
    <w:rsid w:val="00362D6A"/>
    <w:rsid w:val="004E4538"/>
    <w:rsid w:val="0052716E"/>
    <w:rsid w:val="0055132A"/>
    <w:rsid w:val="005A4969"/>
    <w:rsid w:val="005F3411"/>
    <w:rsid w:val="00601516"/>
    <w:rsid w:val="006C6C45"/>
    <w:rsid w:val="00745265"/>
    <w:rsid w:val="00A054B0"/>
    <w:rsid w:val="00AE1C3E"/>
    <w:rsid w:val="00C17897"/>
    <w:rsid w:val="00D05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D4C0"/>
  <w15:docId w15:val="{B3423E41-EDB6-49FD-BB12-1C5C9BB7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D6A"/>
    <w:rPr>
      <w:rFonts w:ascii="Tahoma" w:hAnsi="Tahoma" w:cs="Tahoma"/>
      <w:sz w:val="16"/>
      <w:szCs w:val="16"/>
    </w:rPr>
  </w:style>
  <w:style w:type="table" w:styleId="TableGrid">
    <w:name w:val="Table Grid"/>
    <w:basedOn w:val="TableNormal"/>
    <w:uiPriority w:val="59"/>
    <w:rsid w:val="00362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2D6A"/>
    <w:pPr>
      <w:autoSpaceDE w:val="0"/>
      <w:autoSpaceDN w:val="0"/>
      <w:adjustRightInd w:val="0"/>
      <w:spacing w:after="0" w:line="240" w:lineRule="auto"/>
    </w:pPr>
    <w:rPr>
      <w:rFonts w:ascii="Minion Pro" w:hAnsi="Minion Pro" w:cs="Minion Pro"/>
      <w:color w:val="000000"/>
      <w:sz w:val="24"/>
      <w:szCs w:val="24"/>
    </w:rPr>
  </w:style>
  <w:style w:type="paragraph" w:styleId="NoSpacing">
    <w:name w:val="No Spacing"/>
    <w:uiPriority w:val="1"/>
    <w:qFormat/>
    <w:rsid w:val="006C6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Cook</dc:creator>
  <cp:lastModifiedBy>Shelley Metcalfe</cp:lastModifiedBy>
  <cp:revision>4</cp:revision>
  <cp:lastPrinted>2019-12-17T13:53:00Z</cp:lastPrinted>
  <dcterms:created xsi:type="dcterms:W3CDTF">2019-11-21T14:26:00Z</dcterms:created>
  <dcterms:modified xsi:type="dcterms:W3CDTF">2019-12-19T14:16:00Z</dcterms:modified>
</cp:coreProperties>
</file>