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2BAF3" w14:textId="77777777" w:rsidR="00326C32" w:rsidRDefault="00326C32" w:rsidP="00326C32">
      <w:pPr>
        <w:pStyle w:val="Heading1"/>
        <w:rPr>
          <w:rFonts w:eastAsia="Arial"/>
        </w:rPr>
      </w:pPr>
      <w:bookmarkStart w:id="0" w:name="_Toc449687248"/>
      <w:bookmarkStart w:id="1" w:name="_Toc433976555"/>
      <w:bookmarkStart w:id="2" w:name="_GoBack"/>
      <w:bookmarkEnd w:id="2"/>
      <w:r w:rsidRPr="004E0F5B">
        <w:rPr>
          <w:rFonts w:eastAsia="Arial"/>
        </w:rPr>
        <w:t xml:space="preserve"> </w:t>
      </w:r>
      <w:r w:rsidR="00D04B89">
        <w:rPr>
          <w:rFonts w:eastAsia="Arial"/>
        </w:rPr>
        <w:t>Pupil p</w:t>
      </w:r>
      <w:r w:rsidRPr="004E0F5B">
        <w:rPr>
          <w:rFonts w:eastAsia="Arial"/>
        </w:rPr>
        <w:t xml:space="preserve">remium strategy statement </w:t>
      </w:r>
      <w:r>
        <w:rPr>
          <w:rFonts w:eastAsia="Arial"/>
        </w:rPr>
        <w:t>(secondary)</w:t>
      </w:r>
      <w:bookmarkEnd w:id="0"/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830"/>
        <w:gridCol w:w="1106"/>
        <w:gridCol w:w="3969"/>
        <w:gridCol w:w="1134"/>
        <w:gridCol w:w="5386"/>
        <w:gridCol w:w="992"/>
      </w:tblGrid>
      <w:tr w:rsidR="00814458" w:rsidRPr="00350930" w14:paraId="406500D9" w14:textId="77777777" w:rsidTr="00350930">
        <w:trPr>
          <w:trHeight w:val="276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63F95DD" w14:textId="50AE6568" w:rsidR="00814458" w:rsidRPr="00350930" w:rsidRDefault="00814458" w:rsidP="00AD1C4B">
            <w:pPr>
              <w:pStyle w:val="ListParagraph"/>
              <w:numPr>
                <w:ilvl w:val="0"/>
                <w:numId w:val="33"/>
              </w:numPr>
              <w:spacing w:after="0"/>
              <w:ind w:left="426"/>
              <w:contextualSpacing w:val="0"/>
              <w:rPr>
                <w:rFonts w:cs="Arial"/>
                <w:b/>
                <w:sz w:val="22"/>
                <w:szCs w:val="22"/>
              </w:rPr>
            </w:pPr>
            <w:r w:rsidRPr="00350930">
              <w:rPr>
                <w:rFonts w:cs="Arial"/>
                <w:b/>
                <w:sz w:val="22"/>
                <w:szCs w:val="22"/>
              </w:rPr>
              <w:t xml:space="preserve">Summary information </w:t>
            </w:r>
          </w:p>
        </w:tc>
      </w:tr>
      <w:tr w:rsidR="00814458" w:rsidRPr="00350930" w14:paraId="1C92379B" w14:textId="77777777" w:rsidTr="00A46575">
        <w:trPr>
          <w:trHeight w:val="175"/>
        </w:trPr>
        <w:tc>
          <w:tcPr>
            <w:tcW w:w="2830" w:type="dxa"/>
            <w:tcMar>
              <w:top w:w="57" w:type="dxa"/>
              <w:bottom w:w="57" w:type="dxa"/>
            </w:tcMar>
          </w:tcPr>
          <w:p w14:paraId="7DDE5C32" w14:textId="77777777" w:rsidR="00814458" w:rsidRPr="00350930" w:rsidRDefault="00814458" w:rsidP="00497D2D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350930">
              <w:rPr>
                <w:rFonts w:cs="Arial"/>
                <w:b/>
                <w:sz w:val="22"/>
                <w:szCs w:val="22"/>
              </w:rPr>
              <w:t>School</w:t>
            </w:r>
          </w:p>
        </w:tc>
        <w:tc>
          <w:tcPr>
            <w:tcW w:w="12587" w:type="dxa"/>
            <w:gridSpan w:val="5"/>
            <w:tcMar>
              <w:top w:w="57" w:type="dxa"/>
              <w:bottom w:w="57" w:type="dxa"/>
            </w:tcMar>
          </w:tcPr>
          <w:p w14:paraId="5683E26C" w14:textId="567D8E16" w:rsidR="00814458" w:rsidRPr="00350930" w:rsidRDefault="00A46575" w:rsidP="00497D2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Astrea Academy Woodfields</w:t>
            </w:r>
          </w:p>
        </w:tc>
      </w:tr>
      <w:tr w:rsidR="00814458" w:rsidRPr="00350930" w14:paraId="3606FFE5" w14:textId="77777777" w:rsidTr="00A46575">
        <w:tc>
          <w:tcPr>
            <w:tcW w:w="2830" w:type="dxa"/>
            <w:tcMar>
              <w:top w:w="57" w:type="dxa"/>
              <w:bottom w:w="57" w:type="dxa"/>
            </w:tcMar>
          </w:tcPr>
          <w:p w14:paraId="306BFE24" w14:textId="77777777" w:rsidR="00814458" w:rsidRPr="00350930" w:rsidRDefault="00814458" w:rsidP="00497D2D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350930">
              <w:rPr>
                <w:rFonts w:cs="Arial"/>
                <w:b/>
                <w:sz w:val="22"/>
                <w:szCs w:val="22"/>
              </w:rPr>
              <w:t>Academic Year</w:t>
            </w:r>
          </w:p>
        </w:tc>
        <w:tc>
          <w:tcPr>
            <w:tcW w:w="1106" w:type="dxa"/>
            <w:tcMar>
              <w:top w:w="57" w:type="dxa"/>
              <w:bottom w:w="57" w:type="dxa"/>
            </w:tcMar>
          </w:tcPr>
          <w:p w14:paraId="3A0173D6" w14:textId="4A881A8F" w:rsidR="00814458" w:rsidRPr="00350930" w:rsidRDefault="00A46575" w:rsidP="00497D2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2020/21</w:t>
            </w:r>
          </w:p>
        </w:tc>
        <w:tc>
          <w:tcPr>
            <w:tcW w:w="3969" w:type="dxa"/>
          </w:tcPr>
          <w:p w14:paraId="64C59A87" w14:textId="77777777" w:rsidR="00814458" w:rsidRPr="00350930" w:rsidRDefault="00814458" w:rsidP="00497D2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350930">
              <w:rPr>
                <w:rFonts w:cs="Arial"/>
                <w:b/>
                <w:sz w:val="22"/>
                <w:szCs w:val="22"/>
              </w:rPr>
              <w:t>Total PP budget</w:t>
            </w:r>
          </w:p>
        </w:tc>
        <w:tc>
          <w:tcPr>
            <w:tcW w:w="1134" w:type="dxa"/>
          </w:tcPr>
          <w:p w14:paraId="0BC61951" w14:textId="5029AC69" w:rsidR="00814458" w:rsidRPr="00350930" w:rsidRDefault="00E6571E" w:rsidP="00497D2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£336.150</w:t>
            </w:r>
          </w:p>
        </w:tc>
        <w:tc>
          <w:tcPr>
            <w:tcW w:w="5386" w:type="dxa"/>
          </w:tcPr>
          <w:p w14:paraId="49C5FDF5" w14:textId="77777777" w:rsidR="00814458" w:rsidRPr="00350930" w:rsidRDefault="00814458" w:rsidP="00497D2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350930">
              <w:rPr>
                <w:rFonts w:cs="Arial"/>
                <w:b/>
                <w:sz w:val="22"/>
                <w:szCs w:val="22"/>
              </w:rPr>
              <w:t>Date of most recent PP Review</w:t>
            </w:r>
          </w:p>
        </w:tc>
        <w:tc>
          <w:tcPr>
            <w:tcW w:w="992" w:type="dxa"/>
          </w:tcPr>
          <w:p w14:paraId="4BAC8F6C" w14:textId="66953DF1" w:rsidR="00814458" w:rsidRPr="00350930" w:rsidRDefault="00516E4A" w:rsidP="00497D2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7/19</w:t>
            </w:r>
          </w:p>
        </w:tc>
      </w:tr>
      <w:tr w:rsidR="00814458" w:rsidRPr="00350930" w14:paraId="78EC2B0A" w14:textId="77777777" w:rsidTr="00A46575">
        <w:tc>
          <w:tcPr>
            <w:tcW w:w="2830" w:type="dxa"/>
            <w:tcMar>
              <w:top w:w="57" w:type="dxa"/>
              <w:bottom w:w="57" w:type="dxa"/>
            </w:tcMar>
          </w:tcPr>
          <w:p w14:paraId="4593CFFB" w14:textId="77777777" w:rsidR="00814458" w:rsidRPr="00350930" w:rsidRDefault="00814458" w:rsidP="00497D2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350930">
              <w:rPr>
                <w:rFonts w:cs="Arial"/>
                <w:b/>
                <w:sz w:val="22"/>
                <w:szCs w:val="22"/>
              </w:rPr>
              <w:t>Total number of pupils</w:t>
            </w:r>
          </w:p>
        </w:tc>
        <w:tc>
          <w:tcPr>
            <w:tcW w:w="1106" w:type="dxa"/>
            <w:tcMar>
              <w:top w:w="57" w:type="dxa"/>
              <w:bottom w:w="57" w:type="dxa"/>
            </w:tcMar>
          </w:tcPr>
          <w:p w14:paraId="529E9737" w14:textId="026F03E0" w:rsidR="00814458" w:rsidRPr="00350930" w:rsidRDefault="00516E4A" w:rsidP="00497D2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766</w:t>
            </w:r>
          </w:p>
        </w:tc>
        <w:tc>
          <w:tcPr>
            <w:tcW w:w="3969" w:type="dxa"/>
          </w:tcPr>
          <w:p w14:paraId="291BFA50" w14:textId="77777777" w:rsidR="00814458" w:rsidRPr="00350930" w:rsidRDefault="00814458" w:rsidP="00497D2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350930">
              <w:rPr>
                <w:rFonts w:cs="Arial"/>
                <w:b/>
                <w:sz w:val="22"/>
                <w:szCs w:val="22"/>
              </w:rPr>
              <w:t>Number of pupils eligible for PP</w:t>
            </w:r>
          </w:p>
        </w:tc>
        <w:tc>
          <w:tcPr>
            <w:tcW w:w="1134" w:type="dxa"/>
          </w:tcPr>
          <w:p w14:paraId="315EA708" w14:textId="4B970EA0" w:rsidR="00814458" w:rsidRPr="00350930" w:rsidRDefault="00475109" w:rsidP="00497D2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50.2</w:t>
            </w:r>
            <w:r w:rsidR="00E6571E">
              <w:rPr>
                <w:rFonts w:cs="Arial"/>
                <w:sz w:val="22"/>
                <w:szCs w:val="22"/>
              </w:rPr>
              <w:t>%</w:t>
            </w:r>
          </w:p>
        </w:tc>
        <w:tc>
          <w:tcPr>
            <w:tcW w:w="5386" w:type="dxa"/>
          </w:tcPr>
          <w:p w14:paraId="173A9AD3" w14:textId="77777777" w:rsidR="00814458" w:rsidRPr="00350930" w:rsidRDefault="00814458" w:rsidP="00497D2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350930">
              <w:rPr>
                <w:rFonts w:cs="Arial"/>
                <w:b/>
                <w:sz w:val="22"/>
                <w:szCs w:val="22"/>
              </w:rPr>
              <w:t>Date for next internal review of this strategy</w:t>
            </w:r>
          </w:p>
        </w:tc>
        <w:tc>
          <w:tcPr>
            <w:tcW w:w="992" w:type="dxa"/>
          </w:tcPr>
          <w:p w14:paraId="3E525DFB" w14:textId="068D928C" w:rsidR="00814458" w:rsidRPr="00350930" w:rsidRDefault="00516E4A" w:rsidP="00497D2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9/21</w:t>
            </w:r>
          </w:p>
        </w:tc>
      </w:tr>
    </w:tbl>
    <w:p w14:paraId="173C1C11" w14:textId="77777777" w:rsidR="00814458" w:rsidRPr="00350930" w:rsidRDefault="00814458" w:rsidP="00814458">
      <w:pPr>
        <w:spacing w:after="0"/>
        <w:rPr>
          <w:rFonts w:cs="Arial"/>
          <w:sz w:val="22"/>
          <w:szCs w:val="22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5665"/>
        <w:gridCol w:w="4395"/>
        <w:gridCol w:w="5357"/>
      </w:tblGrid>
      <w:tr w:rsidR="00814458" w:rsidRPr="00350930" w14:paraId="364972F2" w14:textId="77777777" w:rsidTr="006431E0">
        <w:trPr>
          <w:trHeight w:val="146"/>
        </w:trPr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780D6E32" w14:textId="77777777" w:rsidR="00814458" w:rsidRPr="00350930" w:rsidRDefault="00814458" w:rsidP="00AD1C4B">
            <w:pPr>
              <w:pStyle w:val="ListParagraph"/>
              <w:numPr>
                <w:ilvl w:val="0"/>
                <w:numId w:val="33"/>
              </w:numPr>
              <w:spacing w:after="0"/>
              <w:ind w:left="426" w:hanging="284"/>
              <w:contextualSpacing w:val="0"/>
              <w:rPr>
                <w:rFonts w:cs="Arial"/>
                <w:b/>
                <w:sz w:val="22"/>
                <w:szCs w:val="22"/>
              </w:rPr>
            </w:pPr>
            <w:r w:rsidRPr="00350930">
              <w:rPr>
                <w:rFonts w:eastAsia="Arial" w:cs="Arial"/>
                <w:b/>
                <w:sz w:val="22"/>
                <w:szCs w:val="22"/>
              </w:rPr>
              <w:t xml:space="preserve">Current attainment </w:t>
            </w:r>
          </w:p>
        </w:tc>
      </w:tr>
      <w:tr w:rsidR="00814458" w:rsidRPr="00350930" w14:paraId="0CEE256F" w14:textId="77777777" w:rsidTr="00350930">
        <w:tc>
          <w:tcPr>
            <w:tcW w:w="5665" w:type="dxa"/>
            <w:tcMar>
              <w:top w:w="57" w:type="dxa"/>
              <w:bottom w:w="57" w:type="dxa"/>
            </w:tcMar>
          </w:tcPr>
          <w:p w14:paraId="3ACB6E47" w14:textId="77777777" w:rsidR="00814458" w:rsidRPr="00350930" w:rsidRDefault="00814458" w:rsidP="00497D2D">
            <w:pPr>
              <w:spacing w:after="0" w:line="240" w:lineRule="auto"/>
              <w:ind w:left="720" w:hanging="360"/>
              <w:rPr>
                <w:rFonts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95274C2" w14:textId="77777777" w:rsidR="00814458" w:rsidRPr="00350930" w:rsidRDefault="00814458" w:rsidP="00497D2D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350930">
              <w:rPr>
                <w:rFonts w:cs="Arial"/>
                <w:sz w:val="22"/>
                <w:szCs w:val="22"/>
              </w:rPr>
              <w:t>Pupils eligible for PP (your school)</w:t>
            </w:r>
          </w:p>
        </w:tc>
        <w:tc>
          <w:tcPr>
            <w:tcW w:w="535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B55FD95" w14:textId="77777777" w:rsidR="00814458" w:rsidRPr="00350930" w:rsidRDefault="00814458" w:rsidP="00497D2D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350930">
              <w:rPr>
                <w:rFonts w:cs="Arial"/>
                <w:sz w:val="22"/>
                <w:szCs w:val="22"/>
              </w:rPr>
              <w:t xml:space="preserve">Pupils not eligible for PP (national average) </w:t>
            </w:r>
          </w:p>
        </w:tc>
      </w:tr>
      <w:tr w:rsidR="00350930" w:rsidRPr="00350930" w14:paraId="14353563" w14:textId="77777777" w:rsidTr="00350930">
        <w:trPr>
          <w:trHeight w:val="290"/>
        </w:trPr>
        <w:tc>
          <w:tcPr>
            <w:tcW w:w="5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1EC0CF" w14:textId="6784A1A3" w:rsidR="00350930" w:rsidRPr="00E52366" w:rsidRDefault="00350930" w:rsidP="00350930">
            <w:pPr>
              <w:spacing w:after="0" w:line="240" w:lineRule="auto"/>
              <w:rPr>
                <w:rFonts w:eastAsia="Arial" w:cs="Arial"/>
                <w:b/>
                <w:color w:val="auto"/>
                <w:sz w:val="22"/>
                <w:szCs w:val="22"/>
              </w:rPr>
            </w:pPr>
            <w:r w:rsidRPr="00E52366">
              <w:rPr>
                <w:rFonts w:cs="Calibri"/>
                <w:b/>
                <w:color w:val="auto"/>
                <w:sz w:val="22"/>
                <w:szCs w:val="22"/>
              </w:rPr>
              <w:t>Progress 8</w:t>
            </w: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D7827D" w14:textId="48E4835C" w:rsidR="00350930" w:rsidRPr="00350930" w:rsidRDefault="002216C5" w:rsidP="00350930">
            <w:pPr>
              <w:spacing w:after="0" w:line="240" w:lineRule="auto"/>
              <w:ind w:left="187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-0.73</w:t>
            </w:r>
          </w:p>
        </w:tc>
        <w:tc>
          <w:tcPr>
            <w:tcW w:w="53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3B5E594" w14:textId="0810AB5C" w:rsidR="00350930" w:rsidRPr="00350930" w:rsidRDefault="002216C5" w:rsidP="00350930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0.13</w:t>
            </w:r>
          </w:p>
        </w:tc>
      </w:tr>
      <w:tr w:rsidR="00350930" w:rsidRPr="00350930" w14:paraId="5569B55F" w14:textId="77777777" w:rsidTr="00350930">
        <w:trPr>
          <w:trHeight w:val="296"/>
        </w:trPr>
        <w:tc>
          <w:tcPr>
            <w:tcW w:w="5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4DC98A" w14:textId="56C33DF7" w:rsidR="00350930" w:rsidRPr="00E52366" w:rsidRDefault="00350930" w:rsidP="00350930">
            <w:pPr>
              <w:spacing w:after="0" w:line="240" w:lineRule="auto"/>
              <w:rPr>
                <w:rFonts w:eastAsia="Arial" w:cs="Arial"/>
                <w:b/>
                <w:color w:val="auto"/>
                <w:sz w:val="22"/>
                <w:szCs w:val="22"/>
              </w:rPr>
            </w:pPr>
            <w:r w:rsidRPr="00E52366">
              <w:rPr>
                <w:rFonts w:cs="Calibri"/>
                <w:b/>
                <w:color w:val="auto"/>
                <w:sz w:val="22"/>
                <w:szCs w:val="22"/>
              </w:rPr>
              <w:t xml:space="preserve">Ebacc entry </w:t>
            </w: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39A446" w14:textId="3F97CCE3" w:rsidR="00350930" w:rsidRPr="00350930" w:rsidRDefault="00E52366" w:rsidP="002216C5">
            <w:pPr>
              <w:spacing w:after="0" w:line="240" w:lineRule="auto"/>
              <w:ind w:left="187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33%</w:t>
            </w:r>
          </w:p>
        </w:tc>
        <w:tc>
          <w:tcPr>
            <w:tcW w:w="53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D5FF5E9" w14:textId="6DB5F977" w:rsidR="00350930" w:rsidRPr="00350930" w:rsidRDefault="00E52366" w:rsidP="00350930">
            <w:pPr>
              <w:spacing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44.5%</w:t>
            </w:r>
          </w:p>
        </w:tc>
      </w:tr>
      <w:tr w:rsidR="00350930" w:rsidRPr="00350930" w14:paraId="668E8C99" w14:textId="77777777" w:rsidTr="00350930">
        <w:trPr>
          <w:trHeight w:val="302"/>
        </w:trPr>
        <w:tc>
          <w:tcPr>
            <w:tcW w:w="5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5FF386" w14:textId="2A5BF576" w:rsidR="00350930" w:rsidRPr="00E52366" w:rsidRDefault="00350930" w:rsidP="00350930">
            <w:pPr>
              <w:spacing w:after="0" w:line="240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E52366">
              <w:rPr>
                <w:rFonts w:cs="Calibri"/>
                <w:b/>
                <w:color w:val="auto"/>
                <w:sz w:val="22"/>
                <w:szCs w:val="22"/>
              </w:rPr>
              <w:t>Attainment 8</w:t>
            </w: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0E38BE" w14:textId="48923E76" w:rsidR="00350930" w:rsidRPr="00350930" w:rsidRDefault="002216C5" w:rsidP="00350930">
            <w:pPr>
              <w:spacing w:after="0" w:line="240" w:lineRule="auto"/>
              <w:ind w:left="187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30.42</w:t>
            </w:r>
          </w:p>
        </w:tc>
        <w:tc>
          <w:tcPr>
            <w:tcW w:w="53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3A39B6D" w14:textId="781520EF" w:rsidR="00350930" w:rsidRPr="00350930" w:rsidRDefault="002216C5" w:rsidP="00350930">
            <w:pPr>
              <w:spacing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</w:t>
            </w:r>
            <w:r w:rsidR="00E52366">
              <w:rPr>
                <w:rFonts w:cs="Arial"/>
                <w:bCs/>
                <w:sz w:val="22"/>
                <w:szCs w:val="22"/>
              </w:rPr>
              <w:t>0.3</w:t>
            </w:r>
          </w:p>
        </w:tc>
      </w:tr>
      <w:tr w:rsidR="00350930" w:rsidRPr="00350930" w14:paraId="1A4798F4" w14:textId="77777777" w:rsidTr="00350930">
        <w:trPr>
          <w:trHeight w:val="307"/>
        </w:trPr>
        <w:tc>
          <w:tcPr>
            <w:tcW w:w="5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B4A7EC" w14:textId="6C75AE17" w:rsidR="00350930" w:rsidRPr="00E52366" w:rsidRDefault="00350930" w:rsidP="00350930">
            <w:pPr>
              <w:spacing w:after="0" w:line="240" w:lineRule="auto"/>
              <w:rPr>
                <w:rFonts w:eastAsia="Arial" w:cs="Arial"/>
                <w:b/>
                <w:bCs/>
                <w:color w:val="auto"/>
                <w:sz w:val="22"/>
                <w:szCs w:val="22"/>
              </w:rPr>
            </w:pPr>
            <w:r w:rsidRPr="00E52366">
              <w:rPr>
                <w:rFonts w:cs="Calibri"/>
                <w:b/>
                <w:color w:val="auto"/>
                <w:sz w:val="22"/>
                <w:szCs w:val="22"/>
              </w:rPr>
              <w:t>Percentage of Grade 5+ in English and maths</w:t>
            </w: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9AB025" w14:textId="1FC20C0A" w:rsidR="00350930" w:rsidRPr="00350930" w:rsidRDefault="002216C5" w:rsidP="00350930">
            <w:pPr>
              <w:spacing w:after="0" w:line="240" w:lineRule="auto"/>
              <w:ind w:left="187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16.7%</w:t>
            </w:r>
          </w:p>
        </w:tc>
        <w:tc>
          <w:tcPr>
            <w:tcW w:w="53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F646A1D" w14:textId="638496DF" w:rsidR="00350930" w:rsidRPr="00350930" w:rsidRDefault="00E52366" w:rsidP="00350930">
            <w:pPr>
              <w:spacing w:after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49.9%</w:t>
            </w:r>
          </w:p>
        </w:tc>
      </w:tr>
    </w:tbl>
    <w:p w14:paraId="5BEADCAC" w14:textId="77777777" w:rsidR="00350930" w:rsidRPr="00350930" w:rsidRDefault="00350930">
      <w:pPr>
        <w:rPr>
          <w:sz w:val="16"/>
          <w:szCs w:val="16"/>
        </w:rPr>
      </w:pPr>
    </w:p>
    <w:tbl>
      <w:tblPr>
        <w:tblStyle w:val="TableGrid1"/>
        <w:tblW w:w="15417" w:type="dxa"/>
        <w:tblLook w:val="04A0" w:firstRow="1" w:lastRow="0" w:firstColumn="1" w:lastColumn="0" w:noHBand="0" w:noVBand="1"/>
      </w:tblPr>
      <w:tblGrid>
        <w:gridCol w:w="1170"/>
        <w:gridCol w:w="5629"/>
        <w:gridCol w:w="5529"/>
        <w:gridCol w:w="3089"/>
      </w:tblGrid>
      <w:tr w:rsidR="00350930" w:rsidRPr="00350930" w14:paraId="1AF4B4A1" w14:textId="77777777" w:rsidTr="00DE047A">
        <w:tc>
          <w:tcPr>
            <w:tcW w:w="15417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590B20C3" w14:textId="121186DE" w:rsidR="00350930" w:rsidRPr="00E52366" w:rsidRDefault="00350930" w:rsidP="00350930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5236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3.Priority Areas of Focus</w:t>
            </w:r>
            <w:r w:rsidRPr="00E52366"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r w:rsidRPr="00E52366">
              <w:rPr>
                <w:rFonts w:ascii="Arial" w:hAnsi="Arial" w:cs="Arial"/>
                <w:b/>
                <w:color w:val="auto"/>
                <w:sz w:val="22"/>
                <w:szCs w:val="22"/>
              </w:rPr>
              <w:t>in response to identified barriers</w:t>
            </w:r>
            <w:r w:rsidRPr="00E5236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52366">
              <w:rPr>
                <w:rFonts w:ascii="Arial" w:hAnsi="Arial" w:cs="Arial"/>
                <w:b/>
                <w:color w:val="auto"/>
                <w:sz w:val="22"/>
                <w:szCs w:val="22"/>
              </w:rPr>
              <w:t>for pupils eligible for PP, including high ability)</w:t>
            </w:r>
          </w:p>
        </w:tc>
      </w:tr>
      <w:tr w:rsidR="00350930" w:rsidRPr="00350930" w14:paraId="3F141059" w14:textId="77777777" w:rsidTr="00DE047A">
        <w:tc>
          <w:tcPr>
            <w:tcW w:w="15417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38C24B85" w14:textId="77777777" w:rsidR="00350930" w:rsidRPr="00E52366" w:rsidRDefault="00350930" w:rsidP="00350930">
            <w:pPr>
              <w:spacing w:after="0" w:line="240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E5236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School based areas of focus</w:t>
            </w:r>
            <w:r w:rsidRPr="00E5236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10D80EA7" w14:textId="77777777" w:rsidR="00350930" w:rsidRPr="00E52366" w:rsidRDefault="00350930" w:rsidP="00350930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E52366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Issues/barriers to be addressed, such as poor oral language skills, </w:t>
            </w:r>
            <w:r w:rsidRPr="00E52366"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 xml:space="preserve">stated as a positive outcome e.g. improved oral language skills.  </w:t>
            </w:r>
          </w:p>
          <w:p w14:paraId="4BB6CE45" w14:textId="77777777" w:rsidR="00350930" w:rsidRPr="00E52366" w:rsidRDefault="00350930" w:rsidP="00350930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52366">
              <w:rPr>
                <w:rFonts w:ascii="Arial" w:hAnsi="Arial" w:cs="Arial"/>
                <w:i/>
                <w:color w:val="auto"/>
                <w:sz w:val="22"/>
                <w:szCs w:val="22"/>
              </w:rPr>
              <w:t>Please indicate if this is a longer term priority (eg. up to 3 years) by inserting review timescale in final column</w:t>
            </w:r>
          </w:p>
        </w:tc>
      </w:tr>
      <w:tr w:rsidR="00350930" w:rsidRPr="00350930" w14:paraId="02A22A79" w14:textId="77777777" w:rsidTr="00DE047A">
        <w:tc>
          <w:tcPr>
            <w:tcW w:w="6799" w:type="dxa"/>
            <w:gridSpan w:val="2"/>
            <w:tcMar>
              <w:top w:w="57" w:type="dxa"/>
              <w:bottom w:w="57" w:type="dxa"/>
            </w:tcMar>
          </w:tcPr>
          <w:p w14:paraId="7FC3F3A8" w14:textId="77777777" w:rsidR="00350930" w:rsidRPr="00350930" w:rsidRDefault="00350930" w:rsidP="00350930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50930">
              <w:rPr>
                <w:rFonts w:ascii="Arial" w:hAnsi="Arial" w:cs="Arial"/>
                <w:b/>
                <w:color w:val="auto"/>
                <w:sz w:val="22"/>
                <w:szCs w:val="22"/>
              </w:rPr>
              <w:t>Desired Outcome</w:t>
            </w:r>
          </w:p>
        </w:tc>
        <w:tc>
          <w:tcPr>
            <w:tcW w:w="5529" w:type="dxa"/>
          </w:tcPr>
          <w:p w14:paraId="1B675F42" w14:textId="77777777" w:rsidR="00350930" w:rsidRPr="00350930" w:rsidRDefault="00350930" w:rsidP="00350930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50930">
              <w:rPr>
                <w:rFonts w:ascii="Arial" w:hAnsi="Arial" w:cs="Arial"/>
                <w:b/>
                <w:color w:val="auto"/>
                <w:sz w:val="22"/>
                <w:szCs w:val="22"/>
              </w:rPr>
              <w:t>Success Criteria</w:t>
            </w:r>
          </w:p>
        </w:tc>
        <w:tc>
          <w:tcPr>
            <w:tcW w:w="3089" w:type="dxa"/>
          </w:tcPr>
          <w:p w14:paraId="67BE17C1" w14:textId="77777777" w:rsidR="00350930" w:rsidRPr="00350930" w:rsidRDefault="00350930" w:rsidP="00350930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50930">
              <w:rPr>
                <w:rFonts w:ascii="Arial" w:hAnsi="Arial" w:cs="Arial"/>
                <w:b/>
                <w:color w:val="auto"/>
                <w:sz w:val="22"/>
                <w:szCs w:val="22"/>
              </w:rPr>
              <w:t>Timeframe of Priority Area</w:t>
            </w:r>
          </w:p>
        </w:tc>
      </w:tr>
      <w:tr w:rsidR="00350930" w:rsidRPr="00350930" w14:paraId="57113CF0" w14:textId="77777777" w:rsidTr="00DE047A">
        <w:tc>
          <w:tcPr>
            <w:tcW w:w="1170" w:type="dxa"/>
            <w:tcMar>
              <w:top w:w="57" w:type="dxa"/>
              <w:bottom w:w="57" w:type="dxa"/>
            </w:tcMar>
          </w:tcPr>
          <w:p w14:paraId="224411E4" w14:textId="77777777" w:rsidR="00350930" w:rsidRPr="00350930" w:rsidRDefault="00350930" w:rsidP="00350930">
            <w:pPr>
              <w:numPr>
                <w:ilvl w:val="0"/>
                <w:numId w:val="25"/>
              </w:numPr>
              <w:tabs>
                <w:tab w:val="left" w:pos="75"/>
              </w:tabs>
              <w:spacing w:after="0" w:line="240" w:lineRule="auto"/>
              <w:ind w:left="426" w:hanging="335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629" w:type="dxa"/>
          </w:tcPr>
          <w:p w14:paraId="286F1892" w14:textId="051555D5" w:rsidR="00350930" w:rsidRPr="00C660D4" w:rsidRDefault="00C660D4" w:rsidP="00350930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0D4">
              <w:rPr>
                <w:rFonts w:ascii="Arial" w:hAnsi="Arial" w:cs="Arial"/>
                <w:color w:val="auto"/>
                <w:sz w:val="18"/>
                <w:szCs w:val="18"/>
              </w:rPr>
              <w:t>To put disadvantaged students at an advantage in the classroom</w:t>
            </w:r>
          </w:p>
        </w:tc>
        <w:tc>
          <w:tcPr>
            <w:tcW w:w="5529" w:type="dxa"/>
          </w:tcPr>
          <w:p w14:paraId="60ABD472" w14:textId="0FB3136A" w:rsidR="00350930" w:rsidRPr="00E52366" w:rsidRDefault="00C660D4" w:rsidP="00350930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660D4">
              <w:rPr>
                <w:rFonts w:ascii="Arial" w:hAnsi="Arial" w:cs="Arial"/>
                <w:color w:val="auto"/>
                <w:sz w:val="18"/>
                <w:szCs w:val="18"/>
              </w:rPr>
              <w:t>Progress of disadvantaged students will accelerate to national non-disadvantaged</w:t>
            </w:r>
          </w:p>
        </w:tc>
        <w:tc>
          <w:tcPr>
            <w:tcW w:w="3089" w:type="dxa"/>
          </w:tcPr>
          <w:p w14:paraId="3B0201F1" w14:textId="21DAA93F" w:rsidR="00350930" w:rsidRPr="00E52366" w:rsidRDefault="00C660D4" w:rsidP="00350930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660D4">
              <w:rPr>
                <w:rFonts w:ascii="Arial" w:hAnsi="Arial" w:cs="Arial"/>
                <w:color w:val="auto"/>
                <w:sz w:val="18"/>
                <w:szCs w:val="18"/>
              </w:rPr>
              <w:t>Sept 2020 – July 2022</w:t>
            </w:r>
          </w:p>
        </w:tc>
      </w:tr>
      <w:tr w:rsidR="00350930" w:rsidRPr="00350930" w14:paraId="4CAA95AA" w14:textId="77777777" w:rsidTr="00DE047A">
        <w:tc>
          <w:tcPr>
            <w:tcW w:w="1170" w:type="dxa"/>
            <w:tcMar>
              <w:top w:w="57" w:type="dxa"/>
              <w:bottom w:w="57" w:type="dxa"/>
            </w:tcMar>
          </w:tcPr>
          <w:p w14:paraId="4B5B9A7B" w14:textId="77777777" w:rsidR="00350930" w:rsidRPr="00350930" w:rsidRDefault="00350930" w:rsidP="00350930">
            <w:pPr>
              <w:numPr>
                <w:ilvl w:val="0"/>
                <w:numId w:val="25"/>
              </w:numPr>
              <w:tabs>
                <w:tab w:val="left" w:pos="75"/>
              </w:tabs>
              <w:spacing w:after="0" w:line="240" w:lineRule="auto"/>
              <w:ind w:left="426" w:hanging="335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629" w:type="dxa"/>
          </w:tcPr>
          <w:p w14:paraId="14422B9D" w14:textId="5E1B7F83" w:rsidR="00350930" w:rsidRPr="00E52366" w:rsidRDefault="00C660D4" w:rsidP="00350930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To ensure the use of research based evidence in the classroom</w:t>
            </w:r>
          </w:p>
        </w:tc>
        <w:tc>
          <w:tcPr>
            <w:tcW w:w="5529" w:type="dxa"/>
          </w:tcPr>
          <w:p w14:paraId="32471DD8" w14:textId="44485AF4" w:rsidR="00350930" w:rsidRPr="00E52366" w:rsidRDefault="00350930" w:rsidP="00350930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660D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660D4" w:rsidRPr="00C660D4">
              <w:rPr>
                <w:rFonts w:ascii="Arial" w:hAnsi="Arial" w:cs="Arial"/>
                <w:color w:val="auto"/>
                <w:sz w:val="18"/>
                <w:szCs w:val="18"/>
              </w:rPr>
              <w:t>The quality of teaching will be consistently good or better.</w:t>
            </w:r>
          </w:p>
        </w:tc>
        <w:tc>
          <w:tcPr>
            <w:tcW w:w="3089" w:type="dxa"/>
          </w:tcPr>
          <w:p w14:paraId="6D50B7DD" w14:textId="2D4E5494" w:rsidR="00350930" w:rsidRPr="00E52366" w:rsidRDefault="00C660D4" w:rsidP="00350930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Sept 2020 – July 2022</w:t>
            </w:r>
          </w:p>
        </w:tc>
      </w:tr>
      <w:tr w:rsidR="00350930" w:rsidRPr="00350930" w14:paraId="17490560" w14:textId="77777777" w:rsidTr="00DE047A">
        <w:trPr>
          <w:trHeight w:val="70"/>
        </w:trPr>
        <w:tc>
          <w:tcPr>
            <w:tcW w:w="15417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0846B778" w14:textId="77777777" w:rsidR="00350930" w:rsidRPr="00C660D4" w:rsidRDefault="00350930" w:rsidP="00350930">
            <w:pPr>
              <w:spacing w:after="0" w:line="240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C660D4">
              <w:rPr>
                <w:rFonts w:ascii="Arial" w:hAnsi="Arial" w:cs="Arial"/>
                <w:b/>
                <w:color w:val="auto"/>
                <w:sz w:val="22"/>
                <w:szCs w:val="22"/>
              </w:rPr>
              <w:t>External areas of focus</w:t>
            </w:r>
            <w:r w:rsidRPr="00C660D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1BF934C9" w14:textId="77777777" w:rsidR="00350930" w:rsidRPr="00C660D4" w:rsidRDefault="00350930" w:rsidP="00350930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660D4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Issues/barriers which require action outside school, such as low attendance rates, </w:t>
            </w:r>
            <w:r w:rsidRPr="00C660D4"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>stated as a positive outcome e.g. improved attendance</w:t>
            </w:r>
          </w:p>
          <w:p w14:paraId="426AD3B8" w14:textId="77777777" w:rsidR="00350930" w:rsidRPr="00350930" w:rsidRDefault="00350930" w:rsidP="00350930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660D4">
              <w:rPr>
                <w:rFonts w:ascii="Arial" w:hAnsi="Arial" w:cs="Arial"/>
                <w:i/>
                <w:color w:val="auto"/>
                <w:sz w:val="22"/>
                <w:szCs w:val="22"/>
              </w:rPr>
              <w:t>Please indicate if this is a longer term priority (eg. up to 3 years) by entering review timescale in the final column</w:t>
            </w:r>
          </w:p>
        </w:tc>
      </w:tr>
      <w:tr w:rsidR="00350930" w:rsidRPr="00350930" w14:paraId="4D481A17" w14:textId="77777777" w:rsidTr="00DE047A">
        <w:trPr>
          <w:trHeight w:val="70"/>
        </w:trPr>
        <w:tc>
          <w:tcPr>
            <w:tcW w:w="6799" w:type="dxa"/>
            <w:gridSpan w:val="2"/>
            <w:tcMar>
              <w:top w:w="57" w:type="dxa"/>
              <w:bottom w:w="57" w:type="dxa"/>
            </w:tcMar>
          </w:tcPr>
          <w:p w14:paraId="675FEAF2" w14:textId="77777777" w:rsidR="00350930" w:rsidRPr="00350930" w:rsidRDefault="00350930" w:rsidP="0035093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50930">
              <w:rPr>
                <w:rFonts w:ascii="Arial" w:hAnsi="Arial" w:cs="Arial"/>
                <w:b/>
                <w:color w:val="auto"/>
                <w:sz w:val="22"/>
                <w:szCs w:val="22"/>
              </w:rPr>
              <w:t>Desired Outcome</w:t>
            </w:r>
          </w:p>
        </w:tc>
        <w:tc>
          <w:tcPr>
            <w:tcW w:w="5529" w:type="dxa"/>
          </w:tcPr>
          <w:p w14:paraId="65C53328" w14:textId="77777777" w:rsidR="00350930" w:rsidRPr="00350930" w:rsidRDefault="00350930" w:rsidP="0035093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50930">
              <w:rPr>
                <w:rFonts w:ascii="Arial" w:hAnsi="Arial" w:cs="Arial"/>
                <w:b/>
                <w:color w:val="auto"/>
                <w:sz w:val="22"/>
                <w:szCs w:val="22"/>
              </w:rPr>
              <w:t>Success Criteria</w:t>
            </w:r>
          </w:p>
        </w:tc>
        <w:tc>
          <w:tcPr>
            <w:tcW w:w="3089" w:type="dxa"/>
          </w:tcPr>
          <w:p w14:paraId="59487F4A" w14:textId="77777777" w:rsidR="00350930" w:rsidRPr="00350930" w:rsidRDefault="00350930" w:rsidP="0035093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50930">
              <w:rPr>
                <w:rFonts w:ascii="Arial" w:hAnsi="Arial" w:cs="Arial"/>
                <w:b/>
                <w:color w:val="auto"/>
                <w:sz w:val="22"/>
                <w:szCs w:val="22"/>
              </w:rPr>
              <w:t>Timeframe of Priority Area</w:t>
            </w:r>
          </w:p>
        </w:tc>
      </w:tr>
      <w:tr w:rsidR="00350930" w:rsidRPr="00350930" w14:paraId="42444A52" w14:textId="77777777" w:rsidTr="00DE047A">
        <w:trPr>
          <w:trHeight w:val="70"/>
        </w:trPr>
        <w:tc>
          <w:tcPr>
            <w:tcW w:w="1170" w:type="dxa"/>
            <w:tcMar>
              <w:top w:w="57" w:type="dxa"/>
              <w:bottom w:w="57" w:type="dxa"/>
            </w:tcMar>
          </w:tcPr>
          <w:p w14:paraId="621DC6E2" w14:textId="77777777" w:rsidR="00350930" w:rsidRPr="00350930" w:rsidRDefault="00350930" w:rsidP="00350930">
            <w:pPr>
              <w:tabs>
                <w:tab w:val="left" w:pos="60"/>
                <w:tab w:val="left" w:pos="426"/>
              </w:tabs>
              <w:spacing w:after="0" w:line="240" w:lineRule="auto"/>
              <w:ind w:left="426" w:hanging="284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509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D. </w:t>
            </w:r>
          </w:p>
        </w:tc>
        <w:tc>
          <w:tcPr>
            <w:tcW w:w="5629" w:type="dxa"/>
          </w:tcPr>
          <w:p w14:paraId="2B63C6D6" w14:textId="009EC54F" w:rsidR="00350930" w:rsidRPr="00350930" w:rsidRDefault="00C660D4" w:rsidP="0035093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To improve the attendance of targeted pupils</w:t>
            </w:r>
          </w:p>
        </w:tc>
        <w:tc>
          <w:tcPr>
            <w:tcW w:w="5529" w:type="dxa"/>
          </w:tcPr>
          <w:p w14:paraId="2DCFC773" w14:textId="14EA2A73" w:rsidR="00350930" w:rsidRPr="00350930" w:rsidRDefault="00C660D4" w:rsidP="0035093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The attendance rate will accelerate to rate of national non-disadvantaged. </w:t>
            </w:r>
          </w:p>
        </w:tc>
        <w:tc>
          <w:tcPr>
            <w:tcW w:w="3089" w:type="dxa"/>
          </w:tcPr>
          <w:p w14:paraId="17235A1A" w14:textId="7E989BAF" w:rsidR="00350930" w:rsidRPr="00350930" w:rsidRDefault="00C660D4" w:rsidP="0035093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September 2020 – July 2022</w:t>
            </w:r>
          </w:p>
        </w:tc>
      </w:tr>
      <w:bookmarkEnd w:id="1"/>
    </w:tbl>
    <w:p w14:paraId="2395D520" w14:textId="77777777" w:rsidR="00350930" w:rsidRPr="00350930" w:rsidRDefault="00350930" w:rsidP="00350930">
      <w:pPr>
        <w:spacing w:after="0" w:line="240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br w:type="page"/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226"/>
        <w:gridCol w:w="474"/>
        <w:gridCol w:w="3493"/>
        <w:gridCol w:w="892"/>
        <w:gridCol w:w="2124"/>
        <w:gridCol w:w="4111"/>
        <w:gridCol w:w="709"/>
        <w:gridCol w:w="1530"/>
      </w:tblGrid>
      <w:tr w:rsidR="00350930" w14:paraId="032DF6FE" w14:textId="77777777" w:rsidTr="009D244B">
        <w:tc>
          <w:tcPr>
            <w:tcW w:w="15559" w:type="dxa"/>
            <w:gridSpan w:val="8"/>
            <w:shd w:val="clear" w:color="auto" w:fill="CFDCE3"/>
            <w:tcMar>
              <w:top w:w="57" w:type="dxa"/>
              <w:bottom w:w="57" w:type="dxa"/>
            </w:tcMar>
          </w:tcPr>
          <w:p w14:paraId="461DE02D" w14:textId="2CD5D557" w:rsidR="00350930" w:rsidRPr="00C660D4" w:rsidRDefault="0061753B" w:rsidP="0061753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lastRenderedPageBreak/>
              <w:t xml:space="preserve"> </w:t>
            </w:r>
            <w:r w:rsidR="00350930" w:rsidRPr="00C660D4">
              <w:rPr>
                <w:rFonts w:cs="Arial"/>
                <w:b/>
                <w:sz w:val="22"/>
              </w:rPr>
              <w:t xml:space="preserve">Planned expenditure </w:t>
            </w:r>
          </w:p>
        </w:tc>
      </w:tr>
      <w:tr w:rsidR="00350930" w14:paraId="6AC3A84B" w14:textId="77777777" w:rsidTr="009D244B">
        <w:tc>
          <w:tcPr>
            <w:tcW w:w="270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5691D2E" w14:textId="77777777" w:rsidR="00350930" w:rsidRPr="00C660D4" w:rsidRDefault="00350930" w:rsidP="00DE047A">
            <w:pPr>
              <w:pStyle w:val="ListParagraph"/>
              <w:spacing w:after="0" w:line="240" w:lineRule="auto"/>
              <w:ind w:left="0" w:hanging="357"/>
              <w:contextualSpacing w:val="0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Academic year</w:t>
            </w:r>
          </w:p>
        </w:tc>
        <w:tc>
          <w:tcPr>
            <w:tcW w:w="12859" w:type="dxa"/>
            <w:gridSpan w:val="6"/>
            <w:shd w:val="clear" w:color="auto" w:fill="auto"/>
          </w:tcPr>
          <w:p w14:paraId="7C913C4F" w14:textId="2757D7D4" w:rsidR="00350930" w:rsidRPr="00C660D4" w:rsidRDefault="00E52366" w:rsidP="00DE047A">
            <w:pPr>
              <w:spacing w:after="0" w:line="240" w:lineRule="auto"/>
              <w:ind w:left="720" w:hanging="357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2020/21</w:t>
            </w:r>
          </w:p>
        </w:tc>
      </w:tr>
      <w:tr w:rsidR="00350930" w14:paraId="29DDA73F" w14:textId="77777777" w:rsidTr="009D244B">
        <w:tc>
          <w:tcPr>
            <w:tcW w:w="15559" w:type="dxa"/>
            <w:gridSpan w:val="8"/>
            <w:shd w:val="clear" w:color="auto" w:fill="CFDCE3"/>
            <w:tcMar>
              <w:top w:w="57" w:type="dxa"/>
              <w:bottom w:w="57" w:type="dxa"/>
            </w:tcMar>
          </w:tcPr>
          <w:p w14:paraId="6F1C405A" w14:textId="77777777" w:rsidR="00350930" w:rsidRPr="00C660D4" w:rsidRDefault="00350930" w:rsidP="00DE047A">
            <w:pPr>
              <w:spacing w:after="0" w:line="240" w:lineRule="auto"/>
              <w:ind w:left="142"/>
              <w:rPr>
                <w:rFonts w:cs="Arial"/>
                <w:sz w:val="22"/>
              </w:rPr>
            </w:pPr>
            <w:r w:rsidRPr="00C660D4">
              <w:rPr>
                <w:rFonts w:cs="Arial"/>
                <w:sz w:val="22"/>
              </w:rPr>
              <w:t>The three headings below enable schools to demonstrate how they are using the Pupil Premium to improve classroom pedagogy, provide targeted support and support whole school strategies.</w:t>
            </w:r>
          </w:p>
        </w:tc>
      </w:tr>
      <w:tr w:rsidR="00350930" w14:paraId="5985E0CC" w14:textId="77777777" w:rsidTr="009D244B">
        <w:tc>
          <w:tcPr>
            <w:tcW w:w="15559" w:type="dxa"/>
            <w:gridSpan w:val="8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765DAC1" w14:textId="6F380F12" w:rsidR="00350930" w:rsidRPr="00C660D4" w:rsidRDefault="00350930" w:rsidP="00350930">
            <w:pPr>
              <w:pStyle w:val="ListParagraph"/>
              <w:numPr>
                <w:ilvl w:val="0"/>
                <w:numId w:val="36"/>
              </w:numPr>
              <w:ind w:left="426" w:hanging="142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color w:val="FF0000"/>
                <w:sz w:val="22"/>
              </w:rPr>
              <w:t>Quality of teaching for all (e.g. Professional development, Recruitment and retention, Support for early career teachers</w:t>
            </w:r>
            <w:r w:rsidR="00992217" w:rsidRPr="00C660D4">
              <w:rPr>
                <w:rFonts w:cs="Arial"/>
                <w:b/>
                <w:color w:val="FF0000"/>
                <w:sz w:val="22"/>
              </w:rPr>
              <w:t>)</w:t>
            </w:r>
          </w:p>
        </w:tc>
      </w:tr>
      <w:tr w:rsidR="00350930" w14:paraId="55C9FBF5" w14:textId="77777777" w:rsidTr="000769DE">
        <w:trPr>
          <w:trHeight w:val="289"/>
        </w:trPr>
        <w:tc>
          <w:tcPr>
            <w:tcW w:w="2226" w:type="dxa"/>
            <w:tcMar>
              <w:top w:w="57" w:type="dxa"/>
              <w:bottom w:w="57" w:type="dxa"/>
            </w:tcMar>
          </w:tcPr>
          <w:p w14:paraId="000DE547" w14:textId="77777777" w:rsidR="00350930" w:rsidRPr="00C660D4" w:rsidRDefault="00350930" w:rsidP="00DE047A">
            <w:pPr>
              <w:spacing w:after="0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Desired outcome</w:t>
            </w:r>
          </w:p>
        </w:tc>
        <w:tc>
          <w:tcPr>
            <w:tcW w:w="3967" w:type="dxa"/>
            <w:gridSpan w:val="2"/>
            <w:tcMar>
              <w:top w:w="57" w:type="dxa"/>
              <w:bottom w:w="57" w:type="dxa"/>
            </w:tcMar>
          </w:tcPr>
          <w:p w14:paraId="30218F3D" w14:textId="77777777" w:rsidR="00350930" w:rsidRPr="00C660D4" w:rsidRDefault="00350930" w:rsidP="00DE047A">
            <w:pPr>
              <w:spacing w:after="0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Chosen action / approach</w:t>
            </w:r>
          </w:p>
        </w:tc>
        <w:tc>
          <w:tcPr>
            <w:tcW w:w="301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280E4B7" w14:textId="77777777" w:rsidR="00350930" w:rsidRPr="00C660D4" w:rsidRDefault="00350930" w:rsidP="00DE047A">
            <w:pPr>
              <w:spacing w:after="0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What is the evidence and rationale for this choice?</w:t>
            </w:r>
          </w:p>
        </w:tc>
        <w:tc>
          <w:tcPr>
            <w:tcW w:w="4111" w:type="dxa"/>
            <w:shd w:val="clear" w:color="auto" w:fill="auto"/>
            <w:tcMar>
              <w:top w:w="57" w:type="dxa"/>
              <w:bottom w:w="57" w:type="dxa"/>
            </w:tcMar>
          </w:tcPr>
          <w:p w14:paraId="75D30184" w14:textId="72FB68F7" w:rsidR="00350930" w:rsidRPr="00C660D4" w:rsidRDefault="00350930" w:rsidP="00DE047A">
            <w:pPr>
              <w:spacing w:after="0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How will you ensure it is implemented well eg. monitoring planned?</w:t>
            </w:r>
          </w:p>
        </w:tc>
        <w:tc>
          <w:tcPr>
            <w:tcW w:w="709" w:type="dxa"/>
            <w:shd w:val="clear" w:color="auto" w:fill="auto"/>
          </w:tcPr>
          <w:p w14:paraId="3AEE1845" w14:textId="77777777" w:rsidR="00350930" w:rsidRPr="00C660D4" w:rsidRDefault="00350930" w:rsidP="00DE047A">
            <w:pPr>
              <w:spacing w:after="0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Staff lead</w:t>
            </w:r>
          </w:p>
        </w:tc>
        <w:tc>
          <w:tcPr>
            <w:tcW w:w="1530" w:type="dxa"/>
          </w:tcPr>
          <w:p w14:paraId="5B25D785" w14:textId="77777777" w:rsidR="00350930" w:rsidRPr="00C660D4" w:rsidRDefault="00350930" w:rsidP="00DE047A">
            <w:pPr>
              <w:spacing w:after="0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When will you review implementation?</w:t>
            </w:r>
          </w:p>
        </w:tc>
      </w:tr>
      <w:tr w:rsidR="00350930" w14:paraId="39DDBD3C" w14:textId="77777777" w:rsidTr="000769DE">
        <w:trPr>
          <w:trHeight w:hRule="exact" w:val="6445"/>
        </w:trPr>
        <w:tc>
          <w:tcPr>
            <w:tcW w:w="2226" w:type="dxa"/>
            <w:tcMar>
              <w:top w:w="57" w:type="dxa"/>
              <w:bottom w:w="57" w:type="dxa"/>
            </w:tcMar>
          </w:tcPr>
          <w:p w14:paraId="40D3BC66" w14:textId="475FEC4B" w:rsidR="00350930" w:rsidRPr="00650573" w:rsidRDefault="00C660D4" w:rsidP="00DE047A">
            <w:pPr>
              <w:spacing w:after="0"/>
              <w:rPr>
                <w:rFonts w:cs="Arial"/>
                <w:b/>
                <w:sz w:val="22"/>
                <w:szCs w:val="18"/>
              </w:rPr>
            </w:pPr>
            <w:r w:rsidRPr="00650573">
              <w:rPr>
                <w:rFonts w:cs="Arial"/>
                <w:b/>
                <w:sz w:val="22"/>
                <w:szCs w:val="18"/>
              </w:rPr>
              <w:t>To ensure disadvantaged students are placed at an advantage in the classroom</w:t>
            </w:r>
          </w:p>
        </w:tc>
        <w:tc>
          <w:tcPr>
            <w:tcW w:w="3967" w:type="dxa"/>
            <w:gridSpan w:val="2"/>
            <w:tcMar>
              <w:top w:w="57" w:type="dxa"/>
              <w:bottom w:w="57" w:type="dxa"/>
            </w:tcMar>
          </w:tcPr>
          <w:p w14:paraId="42043077" w14:textId="77777777" w:rsidR="00520E92" w:rsidRPr="00900479" w:rsidRDefault="00520E92" w:rsidP="00520E92">
            <w:pPr>
              <w:rPr>
                <w:sz w:val="20"/>
                <w:szCs w:val="20"/>
              </w:rPr>
            </w:pPr>
            <w:r w:rsidRPr="00900479">
              <w:rPr>
                <w:b/>
                <w:sz w:val="20"/>
                <w:szCs w:val="20"/>
              </w:rPr>
              <w:t>Seating Planner</w:t>
            </w:r>
            <w:r w:rsidRPr="00900479">
              <w:rPr>
                <w:sz w:val="20"/>
                <w:szCs w:val="20"/>
              </w:rPr>
              <w:t xml:space="preserve"> – P1 Route. Use of seating plan for questioning and for independent study</w:t>
            </w:r>
          </w:p>
          <w:p w14:paraId="27C95DDC" w14:textId="3430B6DB" w:rsidR="00520E92" w:rsidRPr="00900479" w:rsidRDefault="00650573" w:rsidP="00520E9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CPD to establish </w:t>
            </w:r>
            <w:r w:rsidR="00520E92" w:rsidRPr="00900479">
              <w:rPr>
                <w:b/>
                <w:sz w:val="20"/>
                <w:szCs w:val="20"/>
              </w:rPr>
              <w:t>Learning Modes</w:t>
            </w:r>
            <w:r w:rsidR="00520E92" w:rsidRPr="00900479">
              <w:rPr>
                <w:sz w:val="20"/>
                <w:szCs w:val="20"/>
              </w:rPr>
              <w:t xml:space="preserve"> – Independent Study, Quiet Pairs, Team Work, Eyes On. </w:t>
            </w:r>
          </w:p>
          <w:p w14:paraId="294864BC" w14:textId="674918CC" w:rsidR="00650573" w:rsidRPr="00650573" w:rsidRDefault="00520E92" w:rsidP="00520E92">
            <w:pPr>
              <w:rPr>
                <w:b/>
                <w:sz w:val="20"/>
                <w:szCs w:val="20"/>
              </w:rPr>
            </w:pPr>
            <w:r w:rsidRPr="00900479">
              <w:rPr>
                <w:sz w:val="20"/>
                <w:szCs w:val="20"/>
              </w:rPr>
              <w:t xml:space="preserve">Use of whole-school </w:t>
            </w:r>
            <w:r w:rsidRPr="00900479">
              <w:rPr>
                <w:b/>
                <w:sz w:val="20"/>
                <w:szCs w:val="20"/>
              </w:rPr>
              <w:t>Quality Assurance model</w:t>
            </w:r>
            <w:r w:rsidR="00650573">
              <w:rPr>
                <w:sz w:val="20"/>
                <w:szCs w:val="20"/>
              </w:rPr>
              <w:t xml:space="preserve"> to: (1) Focus, </w:t>
            </w:r>
            <w:r w:rsidRPr="00900479">
              <w:rPr>
                <w:sz w:val="20"/>
                <w:szCs w:val="20"/>
              </w:rPr>
              <w:t xml:space="preserve">biannually, on the experience of disadvantaged students’ learning through </w:t>
            </w:r>
            <w:r w:rsidRPr="00650573">
              <w:rPr>
                <w:b/>
                <w:sz w:val="20"/>
                <w:szCs w:val="20"/>
              </w:rPr>
              <w:t>learning enquiry</w:t>
            </w:r>
            <w:r w:rsidRPr="00900479">
              <w:rPr>
                <w:sz w:val="20"/>
                <w:szCs w:val="20"/>
              </w:rPr>
              <w:t xml:space="preserve">. (2) Include a focus on progress of disadvantaged students in teaching staff </w:t>
            </w:r>
            <w:r w:rsidRPr="00900479">
              <w:rPr>
                <w:b/>
                <w:sz w:val="20"/>
                <w:szCs w:val="20"/>
              </w:rPr>
              <w:t>appraisal</w:t>
            </w:r>
          </w:p>
          <w:p w14:paraId="406CD7BC" w14:textId="3E474F3A" w:rsidR="00350930" w:rsidRDefault="00706166" w:rsidP="00706166">
            <w:pPr>
              <w:rPr>
                <w:sz w:val="20"/>
                <w:szCs w:val="20"/>
              </w:rPr>
            </w:pPr>
            <w:r w:rsidRPr="00900479">
              <w:rPr>
                <w:sz w:val="20"/>
                <w:szCs w:val="20"/>
              </w:rPr>
              <w:t xml:space="preserve">Introduction of </w:t>
            </w:r>
            <w:r w:rsidRPr="00900479">
              <w:rPr>
                <w:b/>
                <w:sz w:val="20"/>
                <w:szCs w:val="20"/>
              </w:rPr>
              <w:t>Pupil Premium passports</w:t>
            </w:r>
            <w:r w:rsidRPr="00900479">
              <w:rPr>
                <w:sz w:val="20"/>
                <w:szCs w:val="20"/>
              </w:rPr>
              <w:t xml:space="preserve"> distributed to staff and led by Pupil Premium </w:t>
            </w:r>
            <w:r w:rsidR="00BC054B">
              <w:rPr>
                <w:sz w:val="20"/>
                <w:szCs w:val="20"/>
              </w:rPr>
              <w:t>Champion/Progress Leaders/SENCO</w:t>
            </w:r>
          </w:p>
          <w:p w14:paraId="6C178CDC" w14:textId="2A2A76E5" w:rsidR="00BC054B" w:rsidRPr="00706166" w:rsidRDefault="00BC054B" w:rsidP="00706166">
            <w:pPr>
              <w:rPr>
                <w:sz w:val="16"/>
                <w:szCs w:val="16"/>
              </w:rPr>
            </w:pPr>
            <w:r w:rsidRPr="00BC054B">
              <w:rPr>
                <w:b/>
                <w:sz w:val="20"/>
                <w:szCs w:val="20"/>
              </w:rPr>
              <w:t>CPD time calendared bi-weekly</w:t>
            </w:r>
            <w:r>
              <w:rPr>
                <w:sz w:val="20"/>
                <w:szCs w:val="20"/>
              </w:rPr>
              <w:t xml:space="preserve"> (Teacher Development Time) to focus on T&amp;L</w:t>
            </w:r>
          </w:p>
        </w:tc>
        <w:tc>
          <w:tcPr>
            <w:tcW w:w="3016" w:type="dxa"/>
            <w:gridSpan w:val="2"/>
            <w:tcMar>
              <w:top w:w="57" w:type="dxa"/>
              <w:bottom w:w="57" w:type="dxa"/>
            </w:tcMar>
          </w:tcPr>
          <w:p w14:paraId="1A399E80" w14:textId="50BA0393" w:rsidR="00350930" w:rsidRPr="00C660D4" w:rsidRDefault="009D244B" w:rsidP="00DE047A">
            <w:pPr>
              <w:spacing w:after="0"/>
              <w:rPr>
                <w:rFonts w:cs="Arial"/>
                <w:sz w:val="22"/>
                <w:szCs w:val="18"/>
              </w:rPr>
            </w:pPr>
            <w:r w:rsidRPr="009D244B">
              <w:rPr>
                <w:sz w:val="20"/>
                <w:szCs w:val="20"/>
              </w:rPr>
              <w:t xml:space="preserve">The most effective way to positively impact upon the progress of PP students is through Wave 1 QFT. The EEF Toolkit suggests that </w:t>
            </w:r>
            <w:r w:rsidRPr="009D244B">
              <w:rPr>
                <w:b/>
                <w:sz w:val="20"/>
                <w:szCs w:val="20"/>
              </w:rPr>
              <w:t xml:space="preserve">high quality feedback, metacognitive strategies​​ and ​peer learning​​ </w:t>
            </w:r>
            <w:r w:rsidRPr="009D244B">
              <w:rPr>
                <w:sz w:val="20"/>
                <w:szCs w:val="20"/>
              </w:rPr>
              <w:t>is an effective way to improve attainment for disadvantaged students. These 3 ‘Big 3’ strategies will form the core of our CPD and M&amp;E</w:t>
            </w:r>
            <w:r w:rsidRPr="006B5E10">
              <w:t xml:space="preserve"> </w:t>
            </w:r>
            <w:r w:rsidRPr="009D244B">
              <w:rPr>
                <w:sz w:val="22"/>
                <w:szCs w:val="22"/>
              </w:rPr>
              <w:t>activities across the year.</w:t>
            </w:r>
            <w:r w:rsidRPr="006B5E10">
              <w:t xml:space="preserve">  </w:t>
            </w:r>
          </w:p>
        </w:tc>
        <w:tc>
          <w:tcPr>
            <w:tcW w:w="4111" w:type="dxa"/>
            <w:shd w:val="clear" w:color="auto" w:fill="auto"/>
            <w:tcMar>
              <w:top w:w="57" w:type="dxa"/>
              <w:bottom w:w="57" w:type="dxa"/>
            </w:tcMar>
          </w:tcPr>
          <w:p w14:paraId="1C3B3825" w14:textId="77777777" w:rsidR="009D244B" w:rsidRPr="009D244B" w:rsidRDefault="009D244B" w:rsidP="009D244B">
            <w:pPr>
              <w:rPr>
                <w:sz w:val="20"/>
                <w:szCs w:val="20"/>
              </w:rPr>
            </w:pPr>
            <w:r w:rsidRPr="009D244B">
              <w:rPr>
                <w:sz w:val="20"/>
                <w:szCs w:val="20"/>
              </w:rPr>
              <w:t>External reviews and internal monitoring will show 100% of teachers are compliant with strategies for Disadvantaged students:</w:t>
            </w:r>
          </w:p>
          <w:p w14:paraId="26E5AF92" w14:textId="77777777" w:rsidR="009D244B" w:rsidRPr="009D244B" w:rsidRDefault="009D244B" w:rsidP="009D244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</w:rPr>
            </w:pPr>
            <w:r w:rsidRPr="009D244B">
              <w:rPr>
                <w:sz w:val="20"/>
                <w:szCs w:val="20"/>
              </w:rPr>
              <w:t>Use of annotated seating plans</w:t>
            </w:r>
          </w:p>
          <w:p w14:paraId="1B54D8E7" w14:textId="6508AE4C" w:rsidR="009D244B" w:rsidRPr="009D244B" w:rsidRDefault="009D244B" w:rsidP="009D244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</w:rPr>
            </w:pPr>
            <w:r w:rsidRPr="009D244B">
              <w:rPr>
                <w:sz w:val="20"/>
                <w:szCs w:val="20"/>
              </w:rPr>
              <w:t>Strategies for delivery of learning</w:t>
            </w:r>
          </w:p>
          <w:p w14:paraId="19138C8D" w14:textId="77777777" w:rsidR="009D244B" w:rsidRPr="009D244B" w:rsidRDefault="009D244B" w:rsidP="009D244B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sz w:val="20"/>
                <w:szCs w:val="20"/>
              </w:rPr>
            </w:pPr>
          </w:p>
          <w:p w14:paraId="2A0CB3C9" w14:textId="77777777" w:rsidR="00650573" w:rsidRDefault="00650573" w:rsidP="00650573">
            <w:pPr>
              <w:rPr>
                <w:sz w:val="20"/>
                <w:szCs w:val="20"/>
              </w:rPr>
            </w:pPr>
            <w:r w:rsidRPr="009D244B">
              <w:rPr>
                <w:sz w:val="20"/>
                <w:szCs w:val="20"/>
              </w:rPr>
              <w:t>Teachers are aware of and are using the information list for planning of learning.</w:t>
            </w:r>
          </w:p>
          <w:p w14:paraId="50C4D877" w14:textId="791D7D77" w:rsidR="00650573" w:rsidRDefault="00650573" w:rsidP="00650573">
            <w:pPr>
              <w:ind w:left="720" w:hanging="720"/>
              <w:rPr>
                <w:sz w:val="20"/>
                <w:szCs w:val="20"/>
              </w:rPr>
            </w:pPr>
            <w:r w:rsidRPr="009D244B">
              <w:rPr>
                <w:sz w:val="20"/>
                <w:szCs w:val="20"/>
              </w:rPr>
              <w:t>There is clear evidence of learning being planned with Rosenshine principles and stra</w:t>
            </w:r>
            <w:r>
              <w:rPr>
                <w:sz w:val="20"/>
                <w:szCs w:val="20"/>
              </w:rPr>
              <w:t xml:space="preserve">tegies for EAL learners in mind. </w:t>
            </w:r>
          </w:p>
          <w:p w14:paraId="1429549A" w14:textId="69CD235D" w:rsidR="00650573" w:rsidRPr="009D244B" w:rsidRDefault="009D244B" w:rsidP="009D244B">
            <w:pPr>
              <w:rPr>
                <w:sz w:val="20"/>
                <w:szCs w:val="20"/>
              </w:rPr>
            </w:pPr>
            <w:r w:rsidRPr="009D244B">
              <w:rPr>
                <w:sz w:val="20"/>
                <w:szCs w:val="20"/>
              </w:rPr>
              <w:t xml:space="preserve">RAG Meetings and CAR process documents show discussions focused on Disadvantaged students. </w:t>
            </w:r>
          </w:p>
          <w:p w14:paraId="5229A433" w14:textId="6E45E758" w:rsidR="009D244B" w:rsidRPr="009D244B" w:rsidRDefault="00650573" w:rsidP="009D244B">
            <w:pPr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Minutes from </w:t>
            </w:r>
            <w:r w:rsidR="009D244B" w:rsidRPr="009D244B">
              <w:rPr>
                <w:sz w:val="20"/>
                <w:szCs w:val="20"/>
              </w:rPr>
              <w:t xml:space="preserve">PLC group show more detailed research into a variety of strategies. Best practice is shared with staff. </w:t>
            </w:r>
          </w:p>
          <w:p w14:paraId="2BF643FC" w14:textId="77777777" w:rsidR="009D244B" w:rsidRPr="009D244B" w:rsidRDefault="009D244B" w:rsidP="009D244B">
            <w:pPr>
              <w:rPr>
                <w:sz w:val="20"/>
                <w:szCs w:val="20"/>
              </w:rPr>
            </w:pPr>
          </w:p>
          <w:p w14:paraId="2F82517E" w14:textId="77777777" w:rsidR="00350930" w:rsidRPr="009D244B" w:rsidRDefault="00350930" w:rsidP="00DE04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4465610" w14:textId="77777777" w:rsidR="00350930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JAT</w:t>
            </w:r>
          </w:p>
          <w:p w14:paraId="6A1B9887" w14:textId="4661C696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300C378B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56CB5E53" w14:textId="2FB345F8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57C67EB8" w14:textId="26685328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JAT</w:t>
            </w:r>
          </w:p>
          <w:p w14:paraId="0B4AFD6D" w14:textId="3C835863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15E2A483" w14:textId="0E423CEB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JAT</w:t>
            </w:r>
          </w:p>
          <w:p w14:paraId="51FD4041" w14:textId="66A025F8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28DD802C" w14:textId="77777777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0B9F20CA" w14:textId="76BE00A8" w:rsidR="00734161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JAT</w:t>
            </w:r>
          </w:p>
          <w:p w14:paraId="011DA7D8" w14:textId="7B0F7FD5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1CA81447" w14:textId="6F7948DB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241D68AB" w14:textId="08C5BE29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1B077E34" w14:textId="7434855C" w:rsidR="00734161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AHA</w:t>
            </w:r>
          </w:p>
          <w:p w14:paraId="7F33F89A" w14:textId="38C14439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696320C9" w14:textId="77777777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2B1D6B73" w14:textId="77777777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357D2312" w14:textId="42D05C8B" w:rsidR="00650573" w:rsidRPr="00C660D4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PLC Leads</w:t>
            </w:r>
          </w:p>
        </w:tc>
        <w:tc>
          <w:tcPr>
            <w:tcW w:w="1530" w:type="dxa"/>
          </w:tcPr>
          <w:p w14:paraId="2181C12C" w14:textId="77777777" w:rsidR="00350930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Termly</w:t>
            </w:r>
          </w:p>
          <w:p w14:paraId="146AD08E" w14:textId="77777777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57565EA5" w14:textId="77777777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49013C2D" w14:textId="77777777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463DE36C" w14:textId="77777777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1E79C214" w14:textId="2F608DE2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262FE2A2" w14:textId="5D3114FC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3EFF0248" w14:textId="587E0D95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76DBFEB8" w14:textId="71527C08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046D2F01" w14:textId="408D74B2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0DC29B12" w14:textId="60751D98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07FD2F3C" w14:textId="623AEE82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09DCECB6" w14:textId="77777777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08CE75B8" w14:textId="77777777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At data collection points</w:t>
            </w:r>
          </w:p>
          <w:p w14:paraId="5F909B49" w14:textId="77777777" w:rsidR="00650573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1CB72A48" w14:textId="1CEC60CC" w:rsidR="00650573" w:rsidRPr="00C660D4" w:rsidRDefault="00650573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Every 6 weeks</w:t>
            </w:r>
          </w:p>
        </w:tc>
      </w:tr>
      <w:tr w:rsidR="00350930" w14:paraId="684E4627" w14:textId="77777777" w:rsidTr="000769DE">
        <w:trPr>
          <w:trHeight w:hRule="exact" w:val="4456"/>
        </w:trPr>
        <w:tc>
          <w:tcPr>
            <w:tcW w:w="2226" w:type="dxa"/>
            <w:tcMar>
              <w:top w:w="57" w:type="dxa"/>
              <w:bottom w:w="57" w:type="dxa"/>
            </w:tcMar>
          </w:tcPr>
          <w:p w14:paraId="0AB17FAA" w14:textId="779836BD" w:rsidR="00350930" w:rsidRPr="00C660D4" w:rsidRDefault="00C660D4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lastRenderedPageBreak/>
              <w:t>To ensure the use of research based evidence to inform teaching</w:t>
            </w:r>
          </w:p>
        </w:tc>
        <w:tc>
          <w:tcPr>
            <w:tcW w:w="3967" w:type="dxa"/>
            <w:gridSpan w:val="2"/>
            <w:tcMar>
              <w:top w:w="57" w:type="dxa"/>
              <w:bottom w:w="57" w:type="dxa"/>
            </w:tcMar>
          </w:tcPr>
          <w:p w14:paraId="4CAAA4A6" w14:textId="77777777" w:rsidR="00520E92" w:rsidRPr="00900479" w:rsidRDefault="00520E92" w:rsidP="00520E92">
            <w:pPr>
              <w:rPr>
                <w:sz w:val="20"/>
                <w:szCs w:val="20"/>
              </w:rPr>
            </w:pPr>
            <w:r w:rsidRPr="00900479">
              <w:rPr>
                <w:b/>
                <w:sz w:val="20"/>
                <w:szCs w:val="20"/>
              </w:rPr>
              <w:t>Professional Learning Communities</w:t>
            </w:r>
            <w:r w:rsidRPr="00900479">
              <w:rPr>
                <w:sz w:val="20"/>
                <w:szCs w:val="20"/>
              </w:rPr>
              <w:t xml:space="preserve"> -  led by the most effective practitioners, as a means to deliver in-house CPD. [Each PLC group can be tailored to individual / group’s strengths and weaknesses] </w:t>
            </w:r>
          </w:p>
          <w:p w14:paraId="35B7BB07" w14:textId="55E85250" w:rsidR="00520E92" w:rsidRPr="00900479" w:rsidRDefault="00520E92" w:rsidP="00520E92">
            <w:pPr>
              <w:rPr>
                <w:sz w:val="20"/>
                <w:szCs w:val="20"/>
              </w:rPr>
            </w:pPr>
            <w:r w:rsidRPr="00900479">
              <w:rPr>
                <w:sz w:val="20"/>
                <w:szCs w:val="20"/>
              </w:rPr>
              <w:t xml:space="preserve">Develop the </w:t>
            </w:r>
            <w:r w:rsidRPr="00900479">
              <w:rPr>
                <w:b/>
                <w:sz w:val="20"/>
                <w:szCs w:val="20"/>
              </w:rPr>
              <w:t>curriculum model</w:t>
            </w:r>
            <w:r w:rsidRPr="00900479">
              <w:rPr>
                <w:sz w:val="20"/>
                <w:szCs w:val="20"/>
              </w:rPr>
              <w:t xml:space="preserve"> for the school, alongside Curriculum Leaders, to ensure all students have access to: ● Cultural capital ● Wider reading ● Independent learning</w:t>
            </w:r>
          </w:p>
          <w:p w14:paraId="28673428" w14:textId="030153DE" w:rsidR="00520E92" w:rsidRPr="00900479" w:rsidRDefault="00520E92" w:rsidP="00520E92">
            <w:pPr>
              <w:rPr>
                <w:sz w:val="20"/>
                <w:szCs w:val="20"/>
              </w:rPr>
            </w:pPr>
            <w:r w:rsidRPr="00900479">
              <w:rPr>
                <w:sz w:val="20"/>
                <w:szCs w:val="20"/>
              </w:rPr>
              <w:t xml:space="preserve">To review the setting and effectiveness of </w:t>
            </w:r>
            <w:r w:rsidRPr="00900479">
              <w:rPr>
                <w:b/>
                <w:sz w:val="20"/>
                <w:szCs w:val="20"/>
              </w:rPr>
              <w:t>home learning</w:t>
            </w:r>
            <w:r w:rsidRPr="00900479">
              <w:rPr>
                <w:sz w:val="20"/>
                <w:szCs w:val="20"/>
              </w:rPr>
              <w:t>. Make and enact recommendations to ensure it’s more effective.</w:t>
            </w:r>
          </w:p>
          <w:p w14:paraId="0A702DEF" w14:textId="708EFBAB" w:rsidR="00520E92" w:rsidRPr="00900479" w:rsidRDefault="00520E92" w:rsidP="00520E92">
            <w:pPr>
              <w:rPr>
                <w:sz w:val="20"/>
                <w:szCs w:val="20"/>
              </w:rPr>
            </w:pPr>
          </w:p>
          <w:p w14:paraId="3859C968" w14:textId="77777777" w:rsidR="00520E92" w:rsidRPr="00900479" w:rsidRDefault="00520E92" w:rsidP="00520E92">
            <w:pPr>
              <w:rPr>
                <w:sz w:val="20"/>
                <w:szCs w:val="20"/>
              </w:rPr>
            </w:pPr>
          </w:p>
          <w:p w14:paraId="0C9EDB5B" w14:textId="77777777" w:rsidR="00520E92" w:rsidRPr="00900479" w:rsidRDefault="00520E92" w:rsidP="00520E92">
            <w:pPr>
              <w:rPr>
                <w:b/>
                <w:sz w:val="20"/>
                <w:szCs w:val="20"/>
              </w:rPr>
            </w:pPr>
            <w:r w:rsidRPr="00900479">
              <w:rPr>
                <w:b/>
                <w:sz w:val="20"/>
                <w:szCs w:val="20"/>
              </w:rPr>
              <w:t>Key Consistencies and Rosenshine</w:t>
            </w:r>
          </w:p>
          <w:p w14:paraId="4551E802" w14:textId="77777777" w:rsidR="00520E92" w:rsidRPr="00900479" w:rsidRDefault="00520E92" w:rsidP="00520E92">
            <w:pPr>
              <w:rPr>
                <w:b/>
                <w:sz w:val="20"/>
                <w:szCs w:val="20"/>
              </w:rPr>
            </w:pPr>
            <w:r w:rsidRPr="00900479">
              <w:rPr>
                <w:b/>
                <w:sz w:val="20"/>
                <w:szCs w:val="20"/>
              </w:rPr>
              <w:t>Future CPD focus on EEF Recommendations</w:t>
            </w:r>
          </w:p>
          <w:p w14:paraId="567B6091" w14:textId="77777777" w:rsidR="00350930" w:rsidRPr="00900479" w:rsidRDefault="00350930" w:rsidP="00DE04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Mar>
              <w:top w:w="57" w:type="dxa"/>
              <w:bottom w:w="57" w:type="dxa"/>
            </w:tcMar>
          </w:tcPr>
          <w:p w14:paraId="5A08B54E" w14:textId="77777777" w:rsidR="009D244B" w:rsidRPr="002F12C4" w:rsidRDefault="009D244B" w:rsidP="009D244B">
            <w:pPr>
              <w:rPr>
                <w:sz w:val="20"/>
                <w:szCs w:val="20"/>
              </w:rPr>
            </w:pPr>
            <w:r w:rsidRPr="002F12C4">
              <w:rPr>
                <w:sz w:val="20"/>
                <w:szCs w:val="20"/>
              </w:rPr>
              <w:t xml:space="preserve">The impact of homework on learning can lead to on average five months' additional progress; how homework is set is very important.​  </w:t>
            </w:r>
          </w:p>
          <w:p w14:paraId="56348346" w14:textId="5E6EC922" w:rsidR="00350930" w:rsidRPr="00C660D4" w:rsidRDefault="009D244B" w:rsidP="009D244B">
            <w:pPr>
              <w:spacing w:after="0"/>
              <w:rPr>
                <w:rFonts w:cs="Arial"/>
                <w:sz w:val="22"/>
                <w:szCs w:val="18"/>
              </w:rPr>
            </w:pPr>
            <w:r w:rsidRPr="002F12C4">
              <w:rPr>
                <w:sz w:val="20"/>
                <w:szCs w:val="20"/>
              </w:rPr>
              <w:t>​Homework is most effective when used as a short and focused intervention with some exceptional studies showing up to eight months' positive impact on attainment. And as an integral part of learning</w:t>
            </w:r>
            <w:r>
              <w:rPr>
                <w:sz w:val="20"/>
                <w:szCs w:val="20"/>
              </w:rPr>
              <w:t xml:space="preserve"> </w:t>
            </w:r>
            <w:r w:rsidRPr="002F12C4">
              <w:rPr>
                <w:sz w:val="20"/>
                <w:szCs w:val="20"/>
              </w:rPr>
              <w:t>with students receiving high quality feedback of their work.</w:t>
            </w:r>
          </w:p>
        </w:tc>
        <w:tc>
          <w:tcPr>
            <w:tcW w:w="4111" w:type="dxa"/>
            <w:shd w:val="clear" w:color="auto" w:fill="auto"/>
            <w:tcMar>
              <w:top w:w="57" w:type="dxa"/>
              <w:bottom w:w="57" w:type="dxa"/>
            </w:tcMar>
          </w:tcPr>
          <w:p w14:paraId="1961A73C" w14:textId="77777777" w:rsidR="009D244B" w:rsidRPr="009D244B" w:rsidRDefault="009D244B" w:rsidP="009D244B">
            <w:pPr>
              <w:rPr>
                <w:sz w:val="22"/>
                <w:szCs w:val="22"/>
              </w:rPr>
            </w:pPr>
            <w:r w:rsidRPr="009D244B">
              <w:rPr>
                <w:sz w:val="22"/>
                <w:szCs w:val="22"/>
              </w:rPr>
              <w:t>FROG is implemented and used effectively in school.</w:t>
            </w:r>
          </w:p>
          <w:p w14:paraId="525965DD" w14:textId="77777777" w:rsidR="009D244B" w:rsidRPr="009D244B" w:rsidRDefault="009D244B" w:rsidP="009D244B">
            <w:pPr>
              <w:rPr>
                <w:sz w:val="22"/>
                <w:szCs w:val="22"/>
              </w:rPr>
            </w:pPr>
            <w:r w:rsidRPr="009D244B">
              <w:rPr>
                <w:sz w:val="22"/>
                <w:szCs w:val="22"/>
              </w:rPr>
              <w:t>There is a clear policy for Homework that is implemented and used.</w:t>
            </w:r>
          </w:p>
          <w:p w14:paraId="4A395334" w14:textId="77777777" w:rsidR="00350930" w:rsidRDefault="009D244B" w:rsidP="009D244B">
            <w:pPr>
              <w:spacing w:after="0"/>
              <w:rPr>
                <w:sz w:val="22"/>
                <w:szCs w:val="22"/>
              </w:rPr>
            </w:pPr>
            <w:r w:rsidRPr="009D244B">
              <w:rPr>
                <w:sz w:val="22"/>
                <w:szCs w:val="22"/>
              </w:rPr>
              <w:t>Each department has a clear strategy for homework and students engage well.</w:t>
            </w:r>
          </w:p>
          <w:p w14:paraId="379D0426" w14:textId="2D4897C9" w:rsidR="004F6FFA" w:rsidRPr="00C660D4" w:rsidRDefault="004F6FFA" w:rsidP="009D244B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sz w:val="22"/>
                <w:szCs w:val="22"/>
              </w:rPr>
              <w:t xml:space="preserve">Homework rates for disadvantaged students increase rapidly. </w:t>
            </w:r>
          </w:p>
        </w:tc>
        <w:tc>
          <w:tcPr>
            <w:tcW w:w="709" w:type="dxa"/>
            <w:shd w:val="clear" w:color="auto" w:fill="auto"/>
          </w:tcPr>
          <w:p w14:paraId="045FF9DA" w14:textId="77777777" w:rsidR="00350930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JAT</w:t>
            </w:r>
          </w:p>
          <w:p w14:paraId="6179E140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7E35306B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29D4CD78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2552EC57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353F86A0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5C59FCB1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JAT</w:t>
            </w:r>
          </w:p>
          <w:p w14:paraId="6B92963A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181E96FB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70891EA0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60A0890E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1DB4F8FA" w14:textId="080167D5" w:rsidR="00734161" w:rsidRPr="00C660D4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EWI/JAT</w:t>
            </w:r>
          </w:p>
        </w:tc>
        <w:tc>
          <w:tcPr>
            <w:tcW w:w="1530" w:type="dxa"/>
          </w:tcPr>
          <w:p w14:paraId="5760C2F8" w14:textId="77777777" w:rsidR="00350930" w:rsidRDefault="00427E7A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Weekly</w:t>
            </w:r>
          </w:p>
          <w:p w14:paraId="73DCC811" w14:textId="77777777" w:rsidR="00427E7A" w:rsidRDefault="00427E7A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162ADD44" w14:textId="77777777" w:rsidR="00427E7A" w:rsidRDefault="00427E7A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42C05A20" w14:textId="146E0AB6" w:rsidR="00427E7A" w:rsidRPr="00C660D4" w:rsidRDefault="00427E7A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Half-termly</w:t>
            </w:r>
          </w:p>
        </w:tc>
      </w:tr>
      <w:tr w:rsidR="00992217" w14:paraId="3D016107" w14:textId="77777777" w:rsidTr="000769DE">
        <w:trPr>
          <w:trHeight w:hRule="exact" w:val="3059"/>
        </w:trPr>
        <w:tc>
          <w:tcPr>
            <w:tcW w:w="2226" w:type="dxa"/>
            <w:tcMar>
              <w:top w:w="57" w:type="dxa"/>
              <w:bottom w:w="57" w:type="dxa"/>
            </w:tcMar>
          </w:tcPr>
          <w:p w14:paraId="30C0ABB0" w14:textId="79DF47E0" w:rsidR="00992217" w:rsidRPr="00C660D4" w:rsidRDefault="00C660D4" w:rsidP="00C660D4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Progress of disadvantaged students will accelerate to national for non-disadvantaged</w:t>
            </w:r>
          </w:p>
        </w:tc>
        <w:tc>
          <w:tcPr>
            <w:tcW w:w="3967" w:type="dxa"/>
            <w:gridSpan w:val="2"/>
            <w:tcMar>
              <w:top w:w="57" w:type="dxa"/>
              <w:bottom w:w="57" w:type="dxa"/>
            </w:tcMar>
          </w:tcPr>
          <w:p w14:paraId="1BFE2D56" w14:textId="77777777" w:rsidR="00520E92" w:rsidRPr="00900479" w:rsidRDefault="00520E92" w:rsidP="00520E92">
            <w:pPr>
              <w:rPr>
                <w:sz w:val="20"/>
                <w:szCs w:val="20"/>
              </w:rPr>
            </w:pPr>
            <w:r w:rsidRPr="00900479">
              <w:rPr>
                <w:b/>
                <w:sz w:val="20"/>
                <w:szCs w:val="20"/>
              </w:rPr>
              <w:t>Deployment of most effective practitioners</w:t>
            </w:r>
            <w:r w:rsidRPr="00900479">
              <w:rPr>
                <w:sz w:val="20"/>
                <w:szCs w:val="20"/>
              </w:rPr>
              <w:t xml:space="preserve"> on teaching groups containing a higher proportion of disadvantaged students.</w:t>
            </w:r>
          </w:p>
          <w:p w14:paraId="011E0CCB" w14:textId="3F42424A" w:rsidR="00520E92" w:rsidRPr="00900479" w:rsidRDefault="00520E92" w:rsidP="00520E92">
            <w:pPr>
              <w:rPr>
                <w:sz w:val="20"/>
                <w:szCs w:val="20"/>
              </w:rPr>
            </w:pPr>
            <w:r w:rsidRPr="00900479">
              <w:rPr>
                <w:b/>
                <w:sz w:val="20"/>
                <w:szCs w:val="20"/>
              </w:rPr>
              <w:t>Recruitment of highly effective teachers</w:t>
            </w:r>
            <w:r w:rsidRPr="00900479">
              <w:rPr>
                <w:sz w:val="20"/>
                <w:szCs w:val="20"/>
              </w:rPr>
              <w:t xml:space="preserve"> a priority </w:t>
            </w:r>
          </w:p>
          <w:p w14:paraId="1248D368" w14:textId="77777777" w:rsidR="00706166" w:rsidRPr="00900479" w:rsidRDefault="00706166" w:rsidP="00706166">
            <w:pPr>
              <w:rPr>
                <w:sz w:val="20"/>
                <w:szCs w:val="20"/>
              </w:rPr>
            </w:pPr>
            <w:r w:rsidRPr="00900479">
              <w:rPr>
                <w:sz w:val="20"/>
                <w:szCs w:val="20"/>
              </w:rPr>
              <w:t xml:space="preserve">Establish a </w:t>
            </w:r>
            <w:r w:rsidRPr="00900479">
              <w:rPr>
                <w:b/>
                <w:sz w:val="20"/>
                <w:szCs w:val="20"/>
              </w:rPr>
              <w:t>“Pupil Premium Champion”</w:t>
            </w:r>
            <w:r w:rsidRPr="00900479">
              <w:rPr>
                <w:sz w:val="20"/>
                <w:szCs w:val="20"/>
              </w:rPr>
              <w:t xml:space="preserve"> in each subject area to meet on cross-curricular meetings</w:t>
            </w:r>
          </w:p>
          <w:p w14:paraId="6A874C30" w14:textId="77777777" w:rsidR="00992217" w:rsidRPr="00900479" w:rsidRDefault="00992217" w:rsidP="00DE04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tcMar>
              <w:top w:w="57" w:type="dxa"/>
              <w:bottom w:w="57" w:type="dxa"/>
            </w:tcMar>
          </w:tcPr>
          <w:p w14:paraId="3019CA72" w14:textId="77777777" w:rsidR="009D244B" w:rsidRPr="009D244B" w:rsidRDefault="009D244B" w:rsidP="009D244B">
            <w:pPr>
              <w:rPr>
                <w:sz w:val="22"/>
                <w:szCs w:val="22"/>
              </w:rPr>
            </w:pPr>
            <w:r w:rsidRPr="009D244B">
              <w:rPr>
                <w:sz w:val="22"/>
                <w:szCs w:val="22"/>
              </w:rPr>
              <w:t>The most effective way to positively impact upon the progress of PP students is through Wave 1 QFT.</w:t>
            </w:r>
          </w:p>
          <w:p w14:paraId="6382B1B1" w14:textId="77777777" w:rsidR="00992217" w:rsidRPr="00C660D4" w:rsidRDefault="00992217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>
              <w:top w:w="57" w:type="dxa"/>
              <w:bottom w:w="57" w:type="dxa"/>
            </w:tcMar>
          </w:tcPr>
          <w:p w14:paraId="3E716384" w14:textId="77777777" w:rsidR="009D244B" w:rsidRPr="009D244B" w:rsidRDefault="009D244B" w:rsidP="009D244B">
            <w:pPr>
              <w:rPr>
                <w:sz w:val="20"/>
                <w:szCs w:val="20"/>
              </w:rPr>
            </w:pPr>
            <w:r w:rsidRPr="009D244B">
              <w:rPr>
                <w:sz w:val="20"/>
                <w:szCs w:val="20"/>
              </w:rPr>
              <w:t>Appraisal conversations are focused on achievement of disadvantaged students.</w:t>
            </w:r>
          </w:p>
          <w:p w14:paraId="1F038AC8" w14:textId="77777777" w:rsidR="009D244B" w:rsidRPr="009D244B" w:rsidRDefault="009D244B" w:rsidP="009D244B">
            <w:pPr>
              <w:rPr>
                <w:sz w:val="20"/>
                <w:szCs w:val="20"/>
              </w:rPr>
            </w:pPr>
            <w:r w:rsidRPr="009D244B">
              <w:rPr>
                <w:sz w:val="20"/>
                <w:szCs w:val="20"/>
              </w:rPr>
              <w:t>Mid-year reviews show class discussions with individual students targeted for improvements.</w:t>
            </w:r>
          </w:p>
          <w:p w14:paraId="65EFED9A" w14:textId="77777777" w:rsidR="009D244B" w:rsidRPr="00DB0A8C" w:rsidRDefault="009D244B" w:rsidP="009D244B">
            <w:r w:rsidRPr="009D244B">
              <w:rPr>
                <w:sz w:val="20"/>
                <w:szCs w:val="20"/>
              </w:rPr>
              <w:t>Assertive mentor logs show conversations happening with disadvantaged students around</w:t>
            </w:r>
            <w:r>
              <w:t xml:space="preserve"> </w:t>
            </w:r>
            <w:r w:rsidRPr="009D244B">
              <w:rPr>
                <w:sz w:val="20"/>
                <w:szCs w:val="20"/>
              </w:rPr>
              <w:t>learning are effecting progress.</w:t>
            </w:r>
            <w:r>
              <w:t xml:space="preserve"> </w:t>
            </w:r>
          </w:p>
          <w:p w14:paraId="27E7AE7E" w14:textId="77777777" w:rsidR="00992217" w:rsidRPr="00C660D4" w:rsidRDefault="00992217" w:rsidP="009D244B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8642405" w14:textId="77777777" w:rsidR="00992217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JAT/AHA</w:t>
            </w:r>
          </w:p>
          <w:p w14:paraId="05A3A21A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4DC40F97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3B3E33A1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7C961AA0" w14:textId="112BA50F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JAT/AAT</w:t>
            </w:r>
          </w:p>
          <w:p w14:paraId="7E1DCD6B" w14:textId="7D19F02C" w:rsidR="00734161" w:rsidRPr="00C660D4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JAT/CL’s</w:t>
            </w:r>
          </w:p>
        </w:tc>
        <w:tc>
          <w:tcPr>
            <w:tcW w:w="1530" w:type="dxa"/>
          </w:tcPr>
          <w:p w14:paraId="1F1741DB" w14:textId="77777777" w:rsidR="00992217" w:rsidRDefault="00427E7A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Tri annual</w:t>
            </w:r>
          </w:p>
          <w:p w14:paraId="3C7CDA40" w14:textId="77777777" w:rsidR="00427E7A" w:rsidRDefault="00427E7A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5BEAD348" w14:textId="77777777" w:rsidR="00427E7A" w:rsidRDefault="00427E7A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3EE793CB" w14:textId="77777777" w:rsidR="00427E7A" w:rsidRDefault="00427E7A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36C89427" w14:textId="77777777" w:rsidR="00427E7A" w:rsidRDefault="00427E7A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1EC1C775" w14:textId="77777777" w:rsidR="00427E7A" w:rsidRDefault="00427E7A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585E842C" w14:textId="428F5420" w:rsidR="00427E7A" w:rsidRPr="00C660D4" w:rsidRDefault="00427E7A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RAG Meetings</w:t>
            </w:r>
          </w:p>
        </w:tc>
      </w:tr>
      <w:tr w:rsidR="0034071F" w14:paraId="45428A16" w14:textId="77777777" w:rsidTr="000769DE">
        <w:trPr>
          <w:trHeight w:hRule="exact" w:val="1360"/>
        </w:trPr>
        <w:tc>
          <w:tcPr>
            <w:tcW w:w="7085" w:type="dxa"/>
            <w:gridSpan w:val="4"/>
            <w:tcMar>
              <w:top w:w="57" w:type="dxa"/>
              <w:bottom w:w="57" w:type="dxa"/>
            </w:tcMar>
          </w:tcPr>
          <w:p w14:paraId="4F09F370" w14:textId="77777777" w:rsidR="0034071F" w:rsidRPr="004F6FFA" w:rsidRDefault="0034071F" w:rsidP="00650573">
            <w:pPr>
              <w:spacing w:after="0"/>
              <w:rPr>
                <w:rFonts w:cs="Arial"/>
                <w:sz w:val="16"/>
                <w:szCs w:val="16"/>
              </w:rPr>
            </w:pPr>
            <w:r w:rsidRPr="004F6FFA">
              <w:rPr>
                <w:rFonts w:cs="Arial"/>
                <w:b/>
                <w:sz w:val="16"/>
                <w:szCs w:val="16"/>
              </w:rPr>
              <w:t xml:space="preserve">Total budgeted cost: </w:t>
            </w:r>
            <w:r w:rsidRPr="004F6FFA">
              <w:rPr>
                <w:rFonts w:cs="Arial"/>
                <w:sz w:val="16"/>
                <w:szCs w:val="16"/>
              </w:rPr>
              <w:t xml:space="preserve">CPD (Learning Modes £613), </w:t>
            </w:r>
          </w:p>
          <w:p w14:paraId="4BFCBB2F" w14:textId="77777777" w:rsidR="0034071F" w:rsidRPr="004F6FFA" w:rsidRDefault="0034071F" w:rsidP="00650573">
            <w:pPr>
              <w:spacing w:after="0"/>
              <w:rPr>
                <w:rFonts w:cs="Arial"/>
                <w:sz w:val="16"/>
                <w:szCs w:val="16"/>
              </w:rPr>
            </w:pPr>
            <w:r w:rsidRPr="004F6FFA">
              <w:rPr>
                <w:rFonts w:cs="Arial"/>
                <w:sz w:val="16"/>
                <w:szCs w:val="16"/>
              </w:rPr>
              <w:t xml:space="preserve">Learning Enquiry Costs (Cover etc £1000), </w:t>
            </w:r>
          </w:p>
          <w:p w14:paraId="396E3CE2" w14:textId="4927F00D" w:rsidR="0034071F" w:rsidRPr="004F6FFA" w:rsidRDefault="0034071F" w:rsidP="00650573">
            <w:pPr>
              <w:spacing w:after="0"/>
              <w:rPr>
                <w:rFonts w:cs="Arial"/>
                <w:sz w:val="16"/>
                <w:szCs w:val="16"/>
              </w:rPr>
            </w:pPr>
            <w:r w:rsidRPr="004F6FFA">
              <w:rPr>
                <w:rFonts w:cs="Arial"/>
                <w:sz w:val="16"/>
                <w:szCs w:val="16"/>
              </w:rPr>
              <w:t>SISRA (</w:t>
            </w:r>
            <w:r w:rsidR="00D641F2" w:rsidRPr="004F6FFA">
              <w:rPr>
                <w:rFonts w:cs="Arial"/>
                <w:sz w:val="16"/>
                <w:szCs w:val="16"/>
              </w:rPr>
              <w:t>£4</w:t>
            </w:r>
            <w:r w:rsidRPr="004F6FFA">
              <w:rPr>
                <w:rFonts w:cs="Arial"/>
                <w:sz w:val="16"/>
                <w:szCs w:val="16"/>
              </w:rPr>
              <w:t xml:space="preserve">000), </w:t>
            </w:r>
          </w:p>
          <w:p w14:paraId="49FE5B2E" w14:textId="77777777" w:rsidR="0034071F" w:rsidRPr="004F6FFA" w:rsidRDefault="0034071F" w:rsidP="0034071F">
            <w:pPr>
              <w:spacing w:after="0"/>
              <w:rPr>
                <w:rFonts w:cs="Arial"/>
                <w:sz w:val="16"/>
                <w:szCs w:val="16"/>
              </w:rPr>
            </w:pPr>
            <w:r w:rsidRPr="004F6FFA">
              <w:rPr>
                <w:rFonts w:cs="Arial"/>
                <w:sz w:val="16"/>
                <w:szCs w:val="16"/>
              </w:rPr>
              <w:t xml:space="preserve">Nominal Roles (£1000), </w:t>
            </w:r>
          </w:p>
          <w:p w14:paraId="797535B1" w14:textId="77777777" w:rsidR="0034071F" w:rsidRPr="004F6FFA" w:rsidRDefault="0034071F" w:rsidP="0034071F">
            <w:pPr>
              <w:spacing w:after="0"/>
              <w:rPr>
                <w:rFonts w:cs="Arial"/>
                <w:sz w:val="16"/>
                <w:szCs w:val="16"/>
              </w:rPr>
            </w:pPr>
            <w:r w:rsidRPr="004F6FFA">
              <w:rPr>
                <w:rFonts w:cs="Arial"/>
                <w:sz w:val="16"/>
                <w:szCs w:val="16"/>
              </w:rPr>
              <w:t xml:space="preserve">PP Focus on RAG (£656). </w:t>
            </w:r>
          </w:p>
          <w:p w14:paraId="4D5B2511" w14:textId="4291DFCE" w:rsidR="0034071F" w:rsidRPr="004F6FFA" w:rsidRDefault="0034071F" w:rsidP="00650573">
            <w:pPr>
              <w:spacing w:after="0"/>
              <w:rPr>
                <w:rFonts w:cs="Arial"/>
                <w:sz w:val="16"/>
                <w:szCs w:val="16"/>
              </w:rPr>
            </w:pPr>
            <w:r w:rsidRPr="004F6FFA">
              <w:rPr>
                <w:rFonts w:cs="Arial"/>
                <w:sz w:val="16"/>
                <w:szCs w:val="16"/>
              </w:rPr>
              <w:t>TLRs Key Staff – Literacy, Numeracy, PP Champion (£9000)</w:t>
            </w:r>
          </w:p>
        </w:tc>
        <w:tc>
          <w:tcPr>
            <w:tcW w:w="6944" w:type="dxa"/>
            <w:gridSpan w:val="3"/>
          </w:tcPr>
          <w:p w14:paraId="2634EF6A" w14:textId="1F2AF08D" w:rsidR="0034071F" w:rsidRPr="004F6FFA" w:rsidRDefault="0034071F" w:rsidP="00650573">
            <w:pPr>
              <w:spacing w:after="0"/>
              <w:rPr>
                <w:rFonts w:cs="Arial"/>
                <w:sz w:val="16"/>
                <w:szCs w:val="16"/>
              </w:rPr>
            </w:pPr>
            <w:r w:rsidRPr="004F6FFA">
              <w:rPr>
                <w:rFonts w:cs="Arial"/>
                <w:sz w:val="16"/>
                <w:szCs w:val="16"/>
              </w:rPr>
              <w:t xml:space="preserve">Frog/Teams (Platforms and Staff CPD £3000), </w:t>
            </w:r>
          </w:p>
          <w:p w14:paraId="0E255208" w14:textId="1CF6089E" w:rsidR="0034071F" w:rsidRPr="004F6FFA" w:rsidRDefault="0034071F" w:rsidP="00650573">
            <w:pPr>
              <w:spacing w:after="0"/>
              <w:rPr>
                <w:rFonts w:cs="Arial"/>
                <w:sz w:val="16"/>
                <w:szCs w:val="16"/>
              </w:rPr>
            </w:pPr>
            <w:r w:rsidRPr="004F6FFA">
              <w:rPr>
                <w:rFonts w:cs="Arial"/>
                <w:sz w:val="16"/>
                <w:szCs w:val="16"/>
              </w:rPr>
              <w:t xml:space="preserve">Recruitment costs e.g. National approach, staff time and resourcing (£5000) </w:t>
            </w:r>
          </w:p>
          <w:p w14:paraId="2F552B1D" w14:textId="43830A89" w:rsidR="0034071F" w:rsidRPr="004F6FFA" w:rsidRDefault="0034071F" w:rsidP="0034071F">
            <w:pPr>
              <w:spacing w:after="0"/>
              <w:rPr>
                <w:rFonts w:cs="Arial"/>
                <w:sz w:val="16"/>
                <w:szCs w:val="16"/>
              </w:rPr>
            </w:pPr>
            <w:r w:rsidRPr="004F6FFA">
              <w:rPr>
                <w:rFonts w:cs="Arial"/>
                <w:sz w:val="16"/>
                <w:szCs w:val="16"/>
              </w:rPr>
              <w:t>Teacher Development Time</w:t>
            </w:r>
            <w:r w:rsidR="00D641F2" w:rsidRPr="004F6FFA">
              <w:rPr>
                <w:rFonts w:cs="Arial"/>
                <w:sz w:val="16"/>
                <w:szCs w:val="16"/>
              </w:rPr>
              <w:t xml:space="preserve"> through year to enable focus on key T&amp;L strategies (£25,440</w:t>
            </w:r>
            <w:r w:rsidRPr="004F6FFA">
              <w:rPr>
                <w:rFonts w:cs="Arial"/>
                <w:sz w:val="16"/>
                <w:szCs w:val="16"/>
              </w:rPr>
              <w:t>)</w:t>
            </w:r>
            <w:r w:rsidR="00D641F2" w:rsidRPr="004F6FFA">
              <w:rPr>
                <w:rFonts w:cs="Arial"/>
                <w:sz w:val="16"/>
                <w:szCs w:val="16"/>
              </w:rPr>
              <w:t xml:space="preserve"> + PLC Development</w:t>
            </w:r>
            <w:r w:rsidR="00C247F5" w:rsidRPr="004F6FFA">
              <w:rPr>
                <w:rFonts w:cs="Arial"/>
                <w:sz w:val="16"/>
                <w:szCs w:val="16"/>
              </w:rPr>
              <w:t xml:space="preserve"> time</w:t>
            </w:r>
            <w:r w:rsidR="00D641F2" w:rsidRPr="004F6FFA">
              <w:rPr>
                <w:rFonts w:cs="Arial"/>
                <w:sz w:val="16"/>
                <w:szCs w:val="16"/>
              </w:rPr>
              <w:t xml:space="preserve"> (£3520)</w:t>
            </w:r>
          </w:p>
          <w:p w14:paraId="391C5902" w14:textId="77777777" w:rsidR="00D641F2" w:rsidRDefault="00D641F2" w:rsidP="0034071F">
            <w:pPr>
              <w:spacing w:after="0"/>
              <w:rPr>
                <w:rFonts w:cs="Arial"/>
                <w:sz w:val="16"/>
                <w:szCs w:val="16"/>
              </w:rPr>
            </w:pPr>
            <w:r w:rsidRPr="004F6FFA">
              <w:rPr>
                <w:rFonts w:cs="Arial"/>
                <w:sz w:val="16"/>
                <w:szCs w:val="16"/>
              </w:rPr>
              <w:t>TLR for NQT/ITT Development (£3000)</w:t>
            </w:r>
            <w:r w:rsidR="00C247F5" w:rsidRPr="004F6FFA">
              <w:rPr>
                <w:rFonts w:cs="Arial"/>
                <w:sz w:val="16"/>
                <w:szCs w:val="16"/>
              </w:rPr>
              <w:t xml:space="preserve"> + staff development resources and cost of cover (£9000)</w:t>
            </w:r>
          </w:p>
          <w:p w14:paraId="1DE63FC7" w14:textId="5C120413" w:rsidR="00E4093D" w:rsidRPr="004F6FFA" w:rsidRDefault="00E4093D" w:rsidP="0034071F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Overarching Leadership Support (£47,180.60)</w:t>
            </w:r>
          </w:p>
        </w:tc>
        <w:tc>
          <w:tcPr>
            <w:tcW w:w="1530" w:type="dxa"/>
          </w:tcPr>
          <w:p w14:paraId="25298791" w14:textId="37B20AE8" w:rsidR="0034071F" w:rsidRPr="00D641F2" w:rsidRDefault="0034071F" w:rsidP="0034071F">
            <w:pPr>
              <w:spacing w:after="0"/>
              <w:rPr>
                <w:rFonts w:cs="Arial"/>
                <w:b/>
                <w:sz w:val="22"/>
              </w:rPr>
            </w:pPr>
            <w:r w:rsidRPr="00D641F2">
              <w:rPr>
                <w:rFonts w:cs="Arial"/>
                <w:b/>
                <w:sz w:val="22"/>
              </w:rPr>
              <w:t>£</w:t>
            </w:r>
            <w:r w:rsidR="00E4093D">
              <w:rPr>
                <w:rFonts w:cs="Arial"/>
                <w:b/>
                <w:sz w:val="22"/>
              </w:rPr>
              <w:t>111,700</w:t>
            </w:r>
          </w:p>
        </w:tc>
      </w:tr>
      <w:tr w:rsidR="00992217" w14:paraId="4AC579A0" w14:textId="77777777" w:rsidTr="000769DE">
        <w:trPr>
          <w:trHeight w:hRule="exact" w:val="374"/>
        </w:trPr>
        <w:tc>
          <w:tcPr>
            <w:tcW w:w="14029" w:type="dxa"/>
            <w:gridSpan w:val="7"/>
            <w:tcMar>
              <w:top w:w="57" w:type="dxa"/>
              <w:bottom w:w="57" w:type="dxa"/>
            </w:tcMar>
          </w:tcPr>
          <w:p w14:paraId="099FF065" w14:textId="61E3C8F4" w:rsidR="00C247F5" w:rsidRPr="004F6FFA" w:rsidRDefault="004F6FFA" w:rsidP="004F6FFA">
            <w:pPr>
              <w:spacing w:after="0"/>
              <w:jc w:val="right"/>
              <w:rPr>
                <w:rFonts w:cs="Arial"/>
                <w:b/>
                <w:color w:val="FF0000"/>
                <w:sz w:val="22"/>
              </w:rPr>
            </w:pPr>
            <w:r>
              <w:rPr>
                <w:rFonts w:cs="Arial"/>
                <w:b/>
                <w:color w:val="FF0000"/>
                <w:sz w:val="22"/>
              </w:rPr>
              <w:t>Proportion of Total Spend:</w:t>
            </w:r>
          </w:p>
        </w:tc>
        <w:tc>
          <w:tcPr>
            <w:tcW w:w="1530" w:type="dxa"/>
          </w:tcPr>
          <w:p w14:paraId="57D613E1" w14:textId="31344C37" w:rsidR="00992217" w:rsidRPr="000769DE" w:rsidRDefault="000769DE" w:rsidP="00DE047A">
            <w:pPr>
              <w:spacing w:after="0"/>
              <w:rPr>
                <w:rFonts w:cs="Arial"/>
                <w:b/>
                <w:sz w:val="22"/>
              </w:rPr>
            </w:pPr>
            <w:r w:rsidRPr="000769DE">
              <w:rPr>
                <w:rFonts w:cs="Arial"/>
                <w:b/>
                <w:sz w:val="22"/>
              </w:rPr>
              <w:t>31%</w:t>
            </w:r>
          </w:p>
        </w:tc>
      </w:tr>
      <w:tr w:rsidR="00350930" w14:paraId="4BB9F2C9" w14:textId="77777777" w:rsidTr="00C247F5">
        <w:trPr>
          <w:trHeight w:hRule="exact" w:val="351"/>
        </w:trPr>
        <w:tc>
          <w:tcPr>
            <w:tcW w:w="15559" w:type="dxa"/>
            <w:gridSpan w:val="8"/>
            <w:tcMar>
              <w:top w:w="57" w:type="dxa"/>
              <w:bottom w:w="57" w:type="dxa"/>
            </w:tcMar>
            <w:vAlign w:val="center"/>
          </w:tcPr>
          <w:p w14:paraId="24B8419D" w14:textId="2D7B95DB" w:rsidR="00350930" w:rsidRPr="004F6FFA" w:rsidRDefault="00350930" w:rsidP="0035093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4F6FFA">
              <w:rPr>
                <w:rFonts w:cs="Arial"/>
                <w:b/>
                <w:sz w:val="16"/>
                <w:szCs w:val="16"/>
              </w:rPr>
              <w:t xml:space="preserve">Targeted support </w:t>
            </w:r>
            <w:r w:rsidRPr="004F6FFA">
              <w:rPr>
                <w:rFonts w:cs="Arial"/>
                <w:b/>
                <w:color w:val="FF0000"/>
                <w:sz w:val="16"/>
                <w:szCs w:val="16"/>
              </w:rPr>
              <w:t>(e.g. Structured interventions, Small group tuition, One-to-one support)</w:t>
            </w:r>
          </w:p>
        </w:tc>
      </w:tr>
      <w:tr w:rsidR="00350930" w:rsidRPr="006D447D" w14:paraId="4EC0920D" w14:textId="77777777" w:rsidTr="000769DE">
        <w:tc>
          <w:tcPr>
            <w:tcW w:w="2226" w:type="dxa"/>
            <w:tcMar>
              <w:top w:w="57" w:type="dxa"/>
              <w:bottom w:w="57" w:type="dxa"/>
            </w:tcMar>
          </w:tcPr>
          <w:p w14:paraId="37A3DF30" w14:textId="77777777" w:rsidR="00350930" w:rsidRPr="004F6FFA" w:rsidRDefault="00350930" w:rsidP="00DE047A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F6FFA">
              <w:rPr>
                <w:rFonts w:cs="Arial"/>
                <w:b/>
                <w:sz w:val="16"/>
                <w:szCs w:val="16"/>
              </w:rPr>
              <w:t>Desired outcome</w:t>
            </w:r>
          </w:p>
        </w:tc>
        <w:tc>
          <w:tcPr>
            <w:tcW w:w="3967" w:type="dxa"/>
            <w:gridSpan w:val="2"/>
            <w:tcMar>
              <w:top w:w="57" w:type="dxa"/>
              <w:bottom w:w="57" w:type="dxa"/>
            </w:tcMar>
          </w:tcPr>
          <w:p w14:paraId="24B609EF" w14:textId="77777777" w:rsidR="00350930" w:rsidRPr="004F6FFA" w:rsidRDefault="00350930" w:rsidP="00DE047A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F6FFA">
              <w:rPr>
                <w:rFonts w:cs="Arial"/>
                <w:b/>
                <w:sz w:val="16"/>
                <w:szCs w:val="16"/>
              </w:rPr>
              <w:t>Chosen action / approach</w:t>
            </w:r>
          </w:p>
        </w:tc>
        <w:tc>
          <w:tcPr>
            <w:tcW w:w="3016" w:type="dxa"/>
            <w:gridSpan w:val="2"/>
            <w:tcMar>
              <w:top w:w="57" w:type="dxa"/>
              <w:bottom w:w="57" w:type="dxa"/>
            </w:tcMar>
          </w:tcPr>
          <w:p w14:paraId="76A7D2F6" w14:textId="77777777" w:rsidR="00350930" w:rsidRPr="004F6FFA" w:rsidRDefault="00350930" w:rsidP="00DE047A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F6FFA">
              <w:rPr>
                <w:rFonts w:cs="Arial"/>
                <w:b/>
                <w:sz w:val="16"/>
                <w:szCs w:val="16"/>
              </w:rPr>
              <w:t>What is the evidence and rationale for this choice?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1F552FF7" w14:textId="4CDD9CFA" w:rsidR="00350930" w:rsidRPr="004F6FFA" w:rsidRDefault="00350930" w:rsidP="00DE047A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F6FFA">
              <w:rPr>
                <w:rFonts w:cs="Arial"/>
                <w:b/>
                <w:sz w:val="16"/>
                <w:szCs w:val="16"/>
              </w:rPr>
              <w:t>How will you ensure it is implemented well eg. monitoring planned?</w:t>
            </w:r>
          </w:p>
        </w:tc>
        <w:tc>
          <w:tcPr>
            <w:tcW w:w="709" w:type="dxa"/>
          </w:tcPr>
          <w:p w14:paraId="221DCF4E" w14:textId="77777777" w:rsidR="00350930" w:rsidRPr="004F6FFA" w:rsidRDefault="00350930" w:rsidP="00DE047A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F6FFA">
              <w:rPr>
                <w:rFonts w:cs="Arial"/>
                <w:b/>
                <w:sz w:val="16"/>
                <w:szCs w:val="16"/>
              </w:rPr>
              <w:t>Staff lead</w:t>
            </w:r>
          </w:p>
        </w:tc>
        <w:tc>
          <w:tcPr>
            <w:tcW w:w="1530" w:type="dxa"/>
          </w:tcPr>
          <w:p w14:paraId="6CA69C21" w14:textId="5B2C0E14" w:rsidR="00350930" w:rsidRPr="004F6FFA" w:rsidRDefault="00350930" w:rsidP="004F6FFA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F6FFA">
              <w:rPr>
                <w:rFonts w:cs="Arial"/>
                <w:b/>
                <w:sz w:val="16"/>
                <w:szCs w:val="16"/>
              </w:rPr>
              <w:t>When will you review</w:t>
            </w:r>
            <w:r w:rsidR="004F6FFA">
              <w:rPr>
                <w:rFonts w:cs="Arial"/>
                <w:b/>
                <w:sz w:val="16"/>
                <w:szCs w:val="16"/>
              </w:rPr>
              <w:t>?</w:t>
            </w:r>
          </w:p>
        </w:tc>
      </w:tr>
      <w:tr w:rsidR="00350930" w14:paraId="2D37990A" w14:textId="77777777" w:rsidTr="000769DE">
        <w:trPr>
          <w:trHeight w:hRule="exact" w:val="10835"/>
        </w:trPr>
        <w:tc>
          <w:tcPr>
            <w:tcW w:w="2226" w:type="dxa"/>
            <w:tcMar>
              <w:top w:w="57" w:type="dxa"/>
              <w:bottom w:w="57" w:type="dxa"/>
            </w:tcMar>
          </w:tcPr>
          <w:p w14:paraId="4CAFE47F" w14:textId="12231D25" w:rsidR="00350930" w:rsidRPr="00C660D4" w:rsidRDefault="00706166" w:rsidP="00DE047A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To increase outcomes for disadvantaged students</w:t>
            </w:r>
          </w:p>
        </w:tc>
        <w:tc>
          <w:tcPr>
            <w:tcW w:w="3967" w:type="dxa"/>
            <w:gridSpan w:val="2"/>
            <w:tcMar>
              <w:top w:w="57" w:type="dxa"/>
              <w:bottom w:w="57" w:type="dxa"/>
            </w:tcMar>
          </w:tcPr>
          <w:p w14:paraId="4DBA284E" w14:textId="2FD6E2A3" w:rsidR="00520E92" w:rsidRPr="00900479" w:rsidRDefault="00520E92" w:rsidP="00520E92">
            <w:pPr>
              <w:rPr>
                <w:sz w:val="18"/>
                <w:szCs w:val="18"/>
              </w:rPr>
            </w:pPr>
            <w:r w:rsidRPr="00900479">
              <w:rPr>
                <w:b/>
                <w:sz w:val="18"/>
                <w:szCs w:val="18"/>
              </w:rPr>
              <w:t>Use of RAG and CAR processes</w:t>
            </w:r>
            <w:r w:rsidRPr="00900479">
              <w:rPr>
                <w:sz w:val="18"/>
                <w:szCs w:val="18"/>
              </w:rPr>
              <w:t xml:space="preserve"> to support student progress. </w:t>
            </w:r>
          </w:p>
          <w:p w14:paraId="65F0D05B" w14:textId="77777777" w:rsidR="00520E92" w:rsidRPr="00900479" w:rsidRDefault="00520E92" w:rsidP="00520E92">
            <w:pPr>
              <w:rPr>
                <w:sz w:val="18"/>
                <w:szCs w:val="18"/>
              </w:rPr>
            </w:pPr>
            <w:r w:rsidRPr="00900479">
              <w:rPr>
                <w:b/>
                <w:sz w:val="18"/>
                <w:szCs w:val="18"/>
              </w:rPr>
              <w:t>Embed Period 7</w:t>
            </w:r>
            <w:r w:rsidRPr="00900479">
              <w:rPr>
                <w:sz w:val="18"/>
                <w:szCs w:val="18"/>
              </w:rPr>
              <w:t xml:space="preserve"> [intervention after school for Y11] where disadvantaged students take priority for invited attendees. KCO to monitor and chase non-attendance</w:t>
            </w:r>
          </w:p>
          <w:p w14:paraId="62761237" w14:textId="6377E342" w:rsidR="00520E92" w:rsidRPr="00900479" w:rsidRDefault="00520E92" w:rsidP="00520E92">
            <w:pPr>
              <w:rPr>
                <w:sz w:val="18"/>
                <w:szCs w:val="18"/>
              </w:rPr>
            </w:pPr>
            <w:r w:rsidRPr="00900479">
              <w:rPr>
                <w:b/>
                <w:sz w:val="18"/>
                <w:szCs w:val="18"/>
              </w:rPr>
              <w:t>Staff in maths and English to lead Catch-Up</w:t>
            </w:r>
            <w:r w:rsidRPr="00900479">
              <w:rPr>
                <w:sz w:val="18"/>
                <w:szCs w:val="18"/>
              </w:rPr>
              <w:t xml:space="preserve"> for students bel</w:t>
            </w:r>
            <w:r w:rsidR="00734161">
              <w:rPr>
                <w:sz w:val="18"/>
                <w:szCs w:val="18"/>
              </w:rPr>
              <w:t xml:space="preserve">ow expected standard in </w:t>
            </w:r>
            <w:r w:rsidRPr="00900479">
              <w:rPr>
                <w:sz w:val="18"/>
                <w:szCs w:val="18"/>
              </w:rPr>
              <w:t xml:space="preserve">(focus on disadvantaged students) with a teacher leading on this provision in each subject area. </w:t>
            </w:r>
          </w:p>
          <w:p w14:paraId="463C3E63" w14:textId="77777777" w:rsidR="00706166" w:rsidRPr="00900479" w:rsidRDefault="00706166" w:rsidP="00706166">
            <w:pPr>
              <w:rPr>
                <w:b/>
                <w:sz w:val="18"/>
                <w:szCs w:val="18"/>
              </w:rPr>
            </w:pPr>
            <w:r w:rsidRPr="00900479">
              <w:rPr>
                <w:sz w:val="18"/>
                <w:szCs w:val="18"/>
              </w:rPr>
              <w:t xml:space="preserve">Introduce </w:t>
            </w:r>
            <w:r w:rsidRPr="00900479">
              <w:rPr>
                <w:b/>
                <w:sz w:val="18"/>
                <w:szCs w:val="18"/>
              </w:rPr>
              <w:t>Y11 peer mentors</w:t>
            </w:r>
            <w:r w:rsidRPr="00900479">
              <w:rPr>
                <w:sz w:val="18"/>
                <w:szCs w:val="18"/>
              </w:rPr>
              <w:t xml:space="preserve"> for students in Years 7-10 (</w:t>
            </w:r>
            <w:r w:rsidRPr="00900479">
              <w:rPr>
                <w:b/>
                <w:sz w:val="18"/>
                <w:szCs w:val="18"/>
              </w:rPr>
              <w:t>initially focusing on HPA disadvantaged students).</w:t>
            </w:r>
          </w:p>
          <w:p w14:paraId="1CBAF68C" w14:textId="56DC6478" w:rsidR="00C247F5" w:rsidRDefault="00706166" w:rsidP="00706166">
            <w:pPr>
              <w:rPr>
                <w:sz w:val="18"/>
                <w:szCs w:val="18"/>
              </w:rPr>
            </w:pPr>
            <w:r w:rsidRPr="00900479">
              <w:rPr>
                <w:b/>
                <w:sz w:val="18"/>
                <w:szCs w:val="18"/>
              </w:rPr>
              <w:t>Assertive mentoring for students in Year 11</w:t>
            </w:r>
            <w:r w:rsidRPr="00900479">
              <w:rPr>
                <w:sz w:val="18"/>
                <w:szCs w:val="18"/>
              </w:rPr>
              <w:t xml:space="preserve"> at risk of under-achieving by teaching staff.</w:t>
            </w:r>
          </w:p>
          <w:p w14:paraId="2CE68F5B" w14:textId="77777777" w:rsidR="00706166" w:rsidRPr="00900479" w:rsidRDefault="00706166" w:rsidP="00706166">
            <w:pPr>
              <w:rPr>
                <w:sz w:val="18"/>
                <w:szCs w:val="18"/>
              </w:rPr>
            </w:pPr>
            <w:r w:rsidRPr="00900479">
              <w:rPr>
                <w:b/>
                <w:sz w:val="18"/>
                <w:szCs w:val="18"/>
              </w:rPr>
              <w:t>HPA disadvantaged students</w:t>
            </w:r>
            <w:r w:rsidRPr="00900479">
              <w:rPr>
                <w:sz w:val="18"/>
                <w:szCs w:val="18"/>
              </w:rPr>
              <w:t xml:space="preserve"> analysed as a separate group and appropriate intervention provided.</w:t>
            </w:r>
          </w:p>
          <w:p w14:paraId="2416524E" w14:textId="161E8932" w:rsidR="00706166" w:rsidRDefault="00706166" w:rsidP="00706166">
            <w:pPr>
              <w:rPr>
                <w:b/>
                <w:sz w:val="18"/>
                <w:szCs w:val="18"/>
              </w:rPr>
            </w:pPr>
            <w:r w:rsidRPr="00900479">
              <w:rPr>
                <w:sz w:val="18"/>
                <w:szCs w:val="18"/>
              </w:rPr>
              <w:t xml:space="preserve">Provide disadvantaged students </w:t>
            </w:r>
            <w:r w:rsidRPr="00900479">
              <w:rPr>
                <w:b/>
                <w:sz w:val="18"/>
                <w:szCs w:val="18"/>
              </w:rPr>
              <w:t>with revision guides</w:t>
            </w:r>
            <w:r w:rsidRPr="00900479">
              <w:rPr>
                <w:sz w:val="18"/>
                <w:szCs w:val="18"/>
              </w:rPr>
              <w:t xml:space="preserve"> </w:t>
            </w:r>
            <w:r w:rsidRPr="00900479">
              <w:rPr>
                <w:b/>
                <w:sz w:val="18"/>
                <w:szCs w:val="18"/>
              </w:rPr>
              <w:t>at Key Stage 4</w:t>
            </w:r>
            <w:r w:rsidRPr="00900479">
              <w:rPr>
                <w:sz w:val="18"/>
                <w:szCs w:val="18"/>
              </w:rPr>
              <w:t xml:space="preserve"> and develop </w:t>
            </w:r>
            <w:r w:rsidRPr="00900479">
              <w:rPr>
                <w:b/>
                <w:sz w:val="18"/>
                <w:szCs w:val="18"/>
              </w:rPr>
              <w:t>“Pupil Premium packs” for students currently in receipt of FSM.</w:t>
            </w:r>
          </w:p>
          <w:p w14:paraId="12DDCBEF" w14:textId="25A42880" w:rsidR="00350930" w:rsidRPr="00C247F5" w:rsidRDefault="00C247F5" w:rsidP="00C247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Establishment of Library Provision and Library/Literacy Co-ordinator</w:t>
            </w:r>
          </w:p>
        </w:tc>
        <w:tc>
          <w:tcPr>
            <w:tcW w:w="3016" w:type="dxa"/>
            <w:gridSpan w:val="2"/>
            <w:tcMar>
              <w:top w:w="57" w:type="dxa"/>
              <w:bottom w:w="57" w:type="dxa"/>
            </w:tcMar>
          </w:tcPr>
          <w:p w14:paraId="5E066D37" w14:textId="73159B68" w:rsidR="00F35ED5" w:rsidRPr="00C247F5" w:rsidRDefault="00F35ED5" w:rsidP="00F35ED5">
            <w:pPr>
              <w:rPr>
                <w:sz w:val="20"/>
                <w:szCs w:val="20"/>
              </w:rPr>
            </w:pPr>
            <w:r w:rsidRPr="00C247F5">
              <w:rPr>
                <w:sz w:val="20"/>
                <w:szCs w:val="20"/>
              </w:rPr>
              <w:t xml:space="preserve">We know that More Able PP students are least likely to achieve as well as their non-PP Peers. We want to highlight this group of students throughout the school as a cohort that need extra development and challenge.  </w:t>
            </w:r>
          </w:p>
          <w:p w14:paraId="796B7A33" w14:textId="09999386" w:rsidR="00350930" w:rsidRDefault="00F35ED5" w:rsidP="00F35ED5">
            <w:pPr>
              <w:spacing w:after="0"/>
              <w:rPr>
                <w:sz w:val="20"/>
                <w:szCs w:val="20"/>
              </w:rPr>
            </w:pPr>
            <w:r w:rsidRPr="00C247F5">
              <w:rPr>
                <w:sz w:val="20"/>
                <w:szCs w:val="20"/>
              </w:rPr>
              <w:t xml:space="preserve">Small group tuition and effective use of TAs is shown by the Sutton Trust to </w:t>
            </w:r>
            <w:r w:rsidR="00C247F5" w:rsidRPr="00C247F5">
              <w:rPr>
                <w:sz w:val="20"/>
                <w:szCs w:val="20"/>
              </w:rPr>
              <w:t>be effective for disadvantaged s</w:t>
            </w:r>
            <w:r w:rsidRPr="00C247F5">
              <w:rPr>
                <w:sz w:val="20"/>
                <w:szCs w:val="20"/>
              </w:rPr>
              <w:t>tudents.</w:t>
            </w:r>
          </w:p>
          <w:p w14:paraId="63BD3885" w14:textId="6049E16C" w:rsidR="00E4093D" w:rsidRPr="00E4093D" w:rsidRDefault="00E4093D" w:rsidP="00F35ED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HPA </w:t>
            </w:r>
            <w:r w:rsidRPr="00E4093D">
              <w:rPr>
                <w:sz w:val="20"/>
                <w:szCs w:val="20"/>
              </w:rPr>
              <w:t>Group identified nationally most at risk of underperformance.</w:t>
            </w:r>
          </w:p>
          <w:p w14:paraId="5037730E" w14:textId="77777777" w:rsidR="004F6FFA" w:rsidRDefault="004F6FFA" w:rsidP="00F35ED5">
            <w:pPr>
              <w:spacing w:after="0"/>
              <w:rPr>
                <w:sz w:val="20"/>
                <w:szCs w:val="20"/>
              </w:rPr>
            </w:pPr>
          </w:p>
          <w:p w14:paraId="432FC6C2" w14:textId="77777777" w:rsidR="004F6FFA" w:rsidRDefault="004F6FFA" w:rsidP="004F6FFA">
            <w:pPr>
              <w:spacing w:after="0"/>
              <w:rPr>
                <w:sz w:val="20"/>
                <w:szCs w:val="20"/>
              </w:rPr>
            </w:pPr>
            <w:r w:rsidRPr="004F6FFA">
              <w:rPr>
                <w:sz w:val="20"/>
                <w:szCs w:val="20"/>
              </w:rPr>
              <w:t xml:space="preserve">EEF +3 months Individualised instruction </w:t>
            </w:r>
          </w:p>
          <w:p w14:paraId="619F7DB8" w14:textId="5CD55F31" w:rsidR="004F6FFA" w:rsidRDefault="004F6FFA" w:rsidP="004F6FFA">
            <w:pPr>
              <w:spacing w:after="0"/>
              <w:rPr>
                <w:sz w:val="20"/>
                <w:szCs w:val="20"/>
              </w:rPr>
            </w:pPr>
            <w:r w:rsidRPr="004F6FFA">
              <w:rPr>
                <w:sz w:val="20"/>
                <w:szCs w:val="20"/>
              </w:rPr>
              <w:t xml:space="preserve">EEF +4 months Small group tuition </w:t>
            </w:r>
          </w:p>
          <w:p w14:paraId="00B1BC70" w14:textId="24C7885B" w:rsidR="004F6FFA" w:rsidRDefault="004F6FFA" w:rsidP="004F6FFA">
            <w:pPr>
              <w:spacing w:after="0"/>
              <w:rPr>
                <w:sz w:val="20"/>
                <w:szCs w:val="20"/>
              </w:rPr>
            </w:pPr>
            <w:r w:rsidRPr="004F6FFA">
              <w:rPr>
                <w:sz w:val="20"/>
                <w:szCs w:val="20"/>
              </w:rPr>
              <w:t>EEF +6 months Reading comprehension strategies</w:t>
            </w:r>
          </w:p>
          <w:p w14:paraId="15C6DD7C" w14:textId="77777777" w:rsidR="004F6FFA" w:rsidRPr="004F6FFA" w:rsidRDefault="004F6FFA" w:rsidP="004F6FFA">
            <w:pPr>
              <w:spacing w:after="0"/>
              <w:rPr>
                <w:sz w:val="20"/>
                <w:szCs w:val="20"/>
              </w:rPr>
            </w:pPr>
          </w:p>
          <w:p w14:paraId="61E54399" w14:textId="6D476732" w:rsidR="004F6FFA" w:rsidRPr="004F6FFA" w:rsidRDefault="004F6FFA" w:rsidP="004F6FFA">
            <w:pPr>
              <w:spacing w:after="0"/>
              <w:rPr>
                <w:rFonts w:cs="Arial"/>
                <w:sz w:val="20"/>
                <w:szCs w:val="20"/>
              </w:rPr>
            </w:pPr>
            <w:r w:rsidRPr="004F6FFA">
              <w:rPr>
                <w:sz w:val="20"/>
                <w:szCs w:val="20"/>
              </w:rPr>
              <w:t>Lack of equipment / study support at end of Y11 identified as barriers to success.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6ECF5852" w14:textId="77777777" w:rsidR="00350930" w:rsidRDefault="004F6FFA" w:rsidP="00DE047A">
            <w:pPr>
              <w:spacing w:after="0"/>
              <w:rPr>
                <w:sz w:val="20"/>
                <w:szCs w:val="20"/>
              </w:rPr>
            </w:pPr>
            <w:r w:rsidRPr="004F6FFA">
              <w:rPr>
                <w:sz w:val="20"/>
                <w:szCs w:val="20"/>
              </w:rPr>
              <w:t>Increased predicted outcomes over time of attendance. Increased</w:t>
            </w:r>
            <w:r>
              <w:rPr>
                <w:sz w:val="20"/>
                <w:szCs w:val="20"/>
              </w:rPr>
              <w:t xml:space="preserve"> outcomes at GCSE / assessment points</w:t>
            </w:r>
            <w:r w:rsidRPr="004F6FFA">
              <w:rPr>
                <w:sz w:val="20"/>
                <w:szCs w:val="20"/>
              </w:rPr>
              <w:t>.</w:t>
            </w:r>
          </w:p>
          <w:p w14:paraId="3769A6E6" w14:textId="77777777" w:rsidR="004F6FFA" w:rsidRDefault="004F6FFA" w:rsidP="00DE047A">
            <w:pPr>
              <w:spacing w:after="0"/>
              <w:rPr>
                <w:sz w:val="20"/>
                <w:szCs w:val="20"/>
              </w:rPr>
            </w:pPr>
          </w:p>
          <w:p w14:paraId="38C03309" w14:textId="77777777" w:rsidR="004F6FFA" w:rsidRDefault="004F6FFA" w:rsidP="00DE047A">
            <w:pPr>
              <w:spacing w:after="0"/>
              <w:rPr>
                <w:sz w:val="20"/>
                <w:szCs w:val="20"/>
              </w:rPr>
            </w:pPr>
          </w:p>
          <w:p w14:paraId="7C0F3ECD" w14:textId="77777777" w:rsidR="004F6FFA" w:rsidRDefault="004F6FFA" w:rsidP="00DE047A">
            <w:pPr>
              <w:spacing w:after="0"/>
              <w:rPr>
                <w:sz w:val="20"/>
                <w:szCs w:val="20"/>
              </w:rPr>
            </w:pPr>
          </w:p>
          <w:p w14:paraId="566833CA" w14:textId="77777777" w:rsidR="004F6FFA" w:rsidRDefault="004F6FFA" w:rsidP="00DE047A">
            <w:pPr>
              <w:spacing w:after="0"/>
              <w:rPr>
                <w:sz w:val="20"/>
                <w:szCs w:val="20"/>
              </w:rPr>
            </w:pPr>
          </w:p>
          <w:p w14:paraId="2DA99043" w14:textId="77777777" w:rsidR="004F6FFA" w:rsidRDefault="004F6FFA" w:rsidP="00DE04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Assessments in school and national assessments show that the gaps are closing. </w:t>
            </w:r>
          </w:p>
          <w:p w14:paraId="3E67A654" w14:textId="77777777" w:rsidR="004F6FFA" w:rsidRDefault="004F6FFA" w:rsidP="00DE047A">
            <w:pPr>
              <w:spacing w:after="0"/>
              <w:rPr>
                <w:sz w:val="20"/>
                <w:szCs w:val="20"/>
              </w:rPr>
            </w:pPr>
          </w:p>
          <w:p w14:paraId="65A9F413" w14:textId="77777777" w:rsidR="004F6FFA" w:rsidRDefault="004F6FFA" w:rsidP="00DE047A">
            <w:pPr>
              <w:spacing w:after="0"/>
              <w:rPr>
                <w:sz w:val="20"/>
                <w:szCs w:val="20"/>
              </w:rPr>
            </w:pPr>
          </w:p>
          <w:p w14:paraId="0AAA6CF5" w14:textId="4D022068" w:rsidR="004F6FFA" w:rsidRDefault="004F6FFA" w:rsidP="00DE04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HPA students perform at potential target grades. </w:t>
            </w:r>
          </w:p>
          <w:p w14:paraId="65A20B1F" w14:textId="624B0240" w:rsidR="004F6FFA" w:rsidRDefault="004F6FFA" w:rsidP="00DE047A">
            <w:pPr>
              <w:spacing w:after="0"/>
              <w:rPr>
                <w:sz w:val="20"/>
                <w:szCs w:val="20"/>
              </w:rPr>
            </w:pPr>
          </w:p>
          <w:p w14:paraId="72A22E29" w14:textId="53BBC86E" w:rsidR="004F6FFA" w:rsidRDefault="004F6FFA" w:rsidP="00DE047A">
            <w:pPr>
              <w:spacing w:after="0"/>
              <w:rPr>
                <w:sz w:val="20"/>
                <w:szCs w:val="20"/>
              </w:rPr>
            </w:pPr>
          </w:p>
          <w:p w14:paraId="6604F615" w14:textId="6E5FB4CE" w:rsidR="004F6FFA" w:rsidRDefault="004F6FFA" w:rsidP="00DE047A">
            <w:pPr>
              <w:spacing w:after="0"/>
              <w:rPr>
                <w:sz w:val="20"/>
                <w:szCs w:val="20"/>
              </w:rPr>
            </w:pPr>
          </w:p>
          <w:p w14:paraId="68A82B49" w14:textId="5FDCE9BA" w:rsidR="004F6FFA" w:rsidRDefault="004F6FFA" w:rsidP="00DE047A">
            <w:pPr>
              <w:spacing w:after="0"/>
              <w:rPr>
                <w:sz w:val="20"/>
                <w:szCs w:val="20"/>
              </w:rPr>
            </w:pPr>
          </w:p>
          <w:p w14:paraId="38FF612F" w14:textId="6C722751" w:rsidR="004F6FFA" w:rsidRDefault="004F6FFA" w:rsidP="00DE047A">
            <w:pPr>
              <w:spacing w:after="0"/>
              <w:rPr>
                <w:sz w:val="20"/>
                <w:szCs w:val="20"/>
              </w:rPr>
            </w:pPr>
          </w:p>
          <w:p w14:paraId="725B2C88" w14:textId="77777777" w:rsidR="004F6FFA" w:rsidRDefault="004F6FFA" w:rsidP="00DE047A">
            <w:pPr>
              <w:spacing w:after="0"/>
              <w:rPr>
                <w:sz w:val="20"/>
                <w:szCs w:val="20"/>
              </w:rPr>
            </w:pPr>
          </w:p>
          <w:p w14:paraId="5BA46EC0" w14:textId="77777777" w:rsidR="004F6FFA" w:rsidRDefault="004F6FFA" w:rsidP="00DE047A">
            <w:pPr>
              <w:spacing w:after="0"/>
              <w:rPr>
                <w:sz w:val="20"/>
                <w:szCs w:val="20"/>
              </w:rPr>
            </w:pPr>
          </w:p>
          <w:p w14:paraId="2F1560C7" w14:textId="0637D8C1" w:rsidR="004F6FFA" w:rsidRPr="004F6FFA" w:rsidRDefault="004F6FFA" w:rsidP="004F6FFA">
            <w:pPr>
              <w:spacing w:after="0"/>
              <w:rPr>
                <w:sz w:val="20"/>
                <w:szCs w:val="20"/>
              </w:rPr>
            </w:pPr>
            <w:r w:rsidRPr="004F6FFA">
              <w:rPr>
                <w:sz w:val="20"/>
                <w:szCs w:val="20"/>
              </w:rPr>
              <w:t>Increased use of revision guides by identified. Increase in predicted and actual outcomes. Improvement in quality and frequency of independent work completed.</w:t>
            </w:r>
          </w:p>
        </w:tc>
        <w:tc>
          <w:tcPr>
            <w:tcW w:w="709" w:type="dxa"/>
          </w:tcPr>
          <w:p w14:paraId="3817CA1D" w14:textId="77777777" w:rsidR="00350930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AHA</w:t>
            </w:r>
          </w:p>
          <w:p w14:paraId="029D39EB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02AD1021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78B0B3FE" w14:textId="4F995430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AHA/KCO</w:t>
            </w:r>
          </w:p>
          <w:p w14:paraId="483FA5D4" w14:textId="7EC48610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5457FF42" w14:textId="12574AE0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7E20ABF6" w14:textId="44F45879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6C76AA65" w14:textId="742077E0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CL’s/JAT</w:t>
            </w:r>
          </w:p>
          <w:p w14:paraId="1CA3C636" w14:textId="6F2ACBE3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57DCAE50" w14:textId="584508AD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6B6ACC0E" w14:textId="13A575E1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4DA7F342" w14:textId="18E62FCE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AHA</w:t>
            </w:r>
          </w:p>
          <w:p w14:paraId="51C4BEB6" w14:textId="39464C6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58EDE3D5" w14:textId="1E34B352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66D00649" w14:textId="0D65A5A5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5450388E" w14:textId="40446AB1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1BBDDFAB" w14:textId="0F4BA398" w:rsidR="00C247F5" w:rsidRDefault="00C247F5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MCA</w:t>
            </w:r>
          </w:p>
          <w:p w14:paraId="2A5D5C54" w14:textId="1F9C1408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7F7D1C36" w14:textId="1801D4CB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08B10602" w14:textId="6805986E" w:rsidR="00734161" w:rsidRPr="004F6FFA" w:rsidRDefault="00734161" w:rsidP="004F6FF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JGI</w:t>
            </w:r>
          </w:p>
        </w:tc>
        <w:tc>
          <w:tcPr>
            <w:tcW w:w="1530" w:type="dxa"/>
          </w:tcPr>
          <w:p w14:paraId="60865527" w14:textId="77777777" w:rsidR="00350930" w:rsidRDefault="00427E7A" w:rsidP="004F6FF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RAG Meetings</w:t>
            </w:r>
          </w:p>
          <w:p w14:paraId="0779CA6B" w14:textId="77777777" w:rsidR="00427E7A" w:rsidRDefault="00427E7A" w:rsidP="004F6FFA">
            <w:pPr>
              <w:rPr>
                <w:rFonts w:cs="Arial"/>
                <w:sz w:val="22"/>
              </w:rPr>
            </w:pPr>
          </w:p>
          <w:p w14:paraId="6031AE79" w14:textId="77777777" w:rsidR="00427E7A" w:rsidRDefault="00427E7A" w:rsidP="004F6FFA">
            <w:pPr>
              <w:rPr>
                <w:rFonts w:cs="Arial"/>
                <w:sz w:val="22"/>
              </w:rPr>
            </w:pPr>
          </w:p>
          <w:p w14:paraId="7E01BA2B" w14:textId="77777777" w:rsidR="00427E7A" w:rsidRDefault="00427E7A" w:rsidP="004F6FF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Fortnightly</w:t>
            </w:r>
          </w:p>
          <w:p w14:paraId="2374934F" w14:textId="77777777" w:rsidR="00427E7A" w:rsidRDefault="00427E7A" w:rsidP="004F6FFA">
            <w:pPr>
              <w:rPr>
                <w:rFonts w:cs="Arial"/>
                <w:sz w:val="22"/>
              </w:rPr>
            </w:pPr>
          </w:p>
          <w:p w14:paraId="4C905D93" w14:textId="77777777" w:rsidR="00427E7A" w:rsidRDefault="00427E7A" w:rsidP="004F6FFA">
            <w:pPr>
              <w:rPr>
                <w:rFonts w:cs="Arial"/>
                <w:sz w:val="22"/>
              </w:rPr>
            </w:pPr>
          </w:p>
          <w:p w14:paraId="044ACCDD" w14:textId="77777777" w:rsidR="00427E7A" w:rsidRDefault="00427E7A" w:rsidP="004F6FFA">
            <w:pPr>
              <w:rPr>
                <w:rFonts w:cs="Arial"/>
                <w:sz w:val="22"/>
              </w:rPr>
            </w:pPr>
          </w:p>
          <w:p w14:paraId="6D51BEE3" w14:textId="05A4BF9E" w:rsidR="00427E7A" w:rsidRDefault="00427E7A" w:rsidP="004F6FFA">
            <w:pPr>
              <w:rPr>
                <w:rFonts w:cs="Arial"/>
                <w:sz w:val="22"/>
              </w:rPr>
            </w:pPr>
          </w:p>
          <w:p w14:paraId="285D840B" w14:textId="43ACFA0A" w:rsidR="00427E7A" w:rsidRPr="004F6FFA" w:rsidRDefault="00427E7A" w:rsidP="004F6FF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Data Collections</w:t>
            </w:r>
          </w:p>
        </w:tc>
      </w:tr>
      <w:tr w:rsidR="00350930" w14:paraId="3D7C79E7" w14:textId="77777777" w:rsidTr="000769DE">
        <w:trPr>
          <w:trHeight w:hRule="exact" w:val="2335"/>
        </w:trPr>
        <w:tc>
          <w:tcPr>
            <w:tcW w:w="2226" w:type="dxa"/>
            <w:tcMar>
              <w:top w:w="57" w:type="dxa"/>
              <w:bottom w:w="57" w:type="dxa"/>
            </w:tcMar>
          </w:tcPr>
          <w:p w14:paraId="48F6DAFE" w14:textId="15D8A2C4" w:rsidR="00350930" w:rsidRPr="00C660D4" w:rsidRDefault="00706166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lastRenderedPageBreak/>
              <w:t>To embed key skills for literacy and numeracy across the curriculum</w:t>
            </w:r>
          </w:p>
        </w:tc>
        <w:tc>
          <w:tcPr>
            <w:tcW w:w="3967" w:type="dxa"/>
            <w:gridSpan w:val="2"/>
            <w:tcMar>
              <w:top w:w="57" w:type="dxa"/>
              <w:bottom w:w="57" w:type="dxa"/>
            </w:tcMar>
          </w:tcPr>
          <w:p w14:paraId="774353D3" w14:textId="558042BE" w:rsidR="00520E92" w:rsidRPr="00900479" w:rsidRDefault="00E4093D" w:rsidP="00520E9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Embedding of maths development strategies</w:t>
            </w:r>
            <w:r w:rsidR="00520E92" w:rsidRPr="009004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eg Maths Mastery</w:t>
            </w:r>
          </w:p>
          <w:p w14:paraId="6CF3B046" w14:textId="5BDFE898" w:rsidR="00520E92" w:rsidRPr="00900479" w:rsidRDefault="00520E92" w:rsidP="00520E92">
            <w:pPr>
              <w:rPr>
                <w:sz w:val="18"/>
                <w:szCs w:val="18"/>
              </w:rPr>
            </w:pPr>
            <w:r w:rsidRPr="00900479">
              <w:rPr>
                <w:sz w:val="18"/>
                <w:szCs w:val="18"/>
              </w:rPr>
              <w:t xml:space="preserve">Introduction and embedding of </w:t>
            </w:r>
            <w:r w:rsidRPr="00900479">
              <w:rPr>
                <w:b/>
                <w:sz w:val="18"/>
                <w:szCs w:val="18"/>
              </w:rPr>
              <w:t>reciprocal reading</w:t>
            </w:r>
            <w:r w:rsidRPr="00900479">
              <w:rPr>
                <w:sz w:val="18"/>
                <w:szCs w:val="18"/>
              </w:rPr>
              <w:t xml:space="preserve"> in English (and later across the school more widely) </w:t>
            </w:r>
          </w:p>
          <w:p w14:paraId="37EAF1FA" w14:textId="36AE67EE" w:rsidR="00706166" w:rsidRPr="00900479" w:rsidRDefault="00706166" w:rsidP="00520E92">
            <w:pPr>
              <w:rPr>
                <w:sz w:val="18"/>
                <w:szCs w:val="18"/>
              </w:rPr>
            </w:pPr>
            <w:r w:rsidRPr="00900479">
              <w:rPr>
                <w:sz w:val="18"/>
                <w:szCs w:val="18"/>
              </w:rPr>
              <w:t>Appointment</w:t>
            </w:r>
            <w:r w:rsidR="00734161">
              <w:rPr>
                <w:sz w:val="18"/>
                <w:szCs w:val="18"/>
              </w:rPr>
              <w:t>/embedding</w:t>
            </w:r>
            <w:r w:rsidRPr="00900479">
              <w:rPr>
                <w:sz w:val="18"/>
                <w:szCs w:val="18"/>
              </w:rPr>
              <w:t xml:space="preserve"> of literacy and numeracy co-ordinator</w:t>
            </w:r>
          </w:p>
          <w:p w14:paraId="581D0CD2" w14:textId="77777777" w:rsidR="00520E92" w:rsidRPr="00520E92" w:rsidRDefault="00520E92" w:rsidP="00520E92">
            <w:pPr>
              <w:rPr>
                <w:sz w:val="16"/>
                <w:szCs w:val="16"/>
              </w:rPr>
            </w:pPr>
          </w:p>
          <w:p w14:paraId="413C0B41" w14:textId="77777777" w:rsidR="00350930" w:rsidRPr="00520E92" w:rsidRDefault="00350930" w:rsidP="00DE047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16" w:type="dxa"/>
            <w:gridSpan w:val="2"/>
            <w:tcMar>
              <w:top w:w="57" w:type="dxa"/>
              <w:bottom w:w="57" w:type="dxa"/>
            </w:tcMar>
          </w:tcPr>
          <w:p w14:paraId="3788934E" w14:textId="162C15D2" w:rsidR="00350930" w:rsidRPr="00C660D4" w:rsidRDefault="000769DE" w:rsidP="00DE047A">
            <w:pPr>
              <w:spacing w:after="0"/>
              <w:rPr>
                <w:rFonts w:cs="Arial"/>
                <w:sz w:val="22"/>
              </w:rPr>
            </w:pPr>
            <w:r>
              <w:t>EEF +6 months Reading comprehension strategies EEF +4 months Small group tuition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7DC15BC9" w14:textId="77777777" w:rsidR="000769DE" w:rsidRDefault="000769DE" w:rsidP="000769DE">
            <w:pPr>
              <w:spacing w:after="0"/>
            </w:pPr>
            <w:r>
              <w:t>Improved reading ages relative to peers.</w:t>
            </w:r>
          </w:p>
          <w:p w14:paraId="5C0B22CA" w14:textId="77777777" w:rsidR="000769DE" w:rsidRDefault="000769DE" w:rsidP="000769DE">
            <w:pPr>
              <w:spacing w:after="0"/>
            </w:pPr>
            <w:r>
              <w:t xml:space="preserve">Improved progress towards TGs in maths and English </w:t>
            </w:r>
          </w:p>
          <w:p w14:paraId="0D87F73F" w14:textId="58B960B5" w:rsidR="00350930" w:rsidRPr="00C660D4" w:rsidRDefault="000769DE" w:rsidP="000769DE">
            <w:pPr>
              <w:spacing w:after="0"/>
              <w:rPr>
                <w:rFonts w:cs="Arial"/>
                <w:sz w:val="22"/>
                <w:szCs w:val="18"/>
              </w:rPr>
            </w:pPr>
            <w:r>
              <w:t>Increased outcomes over time (in maths, English)</w:t>
            </w:r>
          </w:p>
        </w:tc>
        <w:tc>
          <w:tcPr>
            <w:tcW w:w="709" w:type="dxa"/>
          </w:tcPr>
          <w:p w14:paraId="4E725626" w14:textId="77777777" w:rsidR="00350930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PNE</w:t>
            </w:r>
          </w:p>
          <w:p w14:paraId="10455E51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5B481857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412833EF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NSK</w:t>
            </w:r>
          </w:p>
          <w:p w14:paraId="5B7BD928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23023FB1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3424F28C" w14:textId="49850C26" w:rsidR="00734161" w:rsidRPr="00C660D4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JAT</w:t>
            </w:r>
          </w:p>
        </w:tc>
        <w:tc>
          <w:tcPr>
            <w:tcW w:w="1530" w:type="dxa"/>
          </w:tcPr>
          <w:p w14:paraId="5F2DD864" w14:textId="77777777" w:rsidR="00350930" w:rsidRDefault="00427E7A" w:rsidP="00DE047A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Fortnightly</w:t>
            </w:r>
          </w:p>
          <w:p w14:paraId="5363A230" w14:textId="77777777" w:rsidR="00427E7A" w:rsidRDefault="00427E7A" w:rsidP="00DE047A">
            <w:pPr>
              <w:spacing w:after="0"/>
              <w:rPr>
                <w:rFonts w:cs="Arial"/>
                <w:sz w:val="22"/>
              </w:rPr>
            </w:pPr>
          </w:p>
          <w:p w14:paraId="380B704E" w14:textId="77777777" w:rsidR="00427E7A" w:rsidRDefault="00427E7A" w:rsidP="00DE047A">
            <w:pPr>
              <w:spacing w:after="0"/>
              <w:rPr>
                <w:rFonts w:cs="Arial"/>
                <w:sz w:val="22"/>
              </w:rPr>
            </w:pPr>
          </w:p>
          <w:p w14:paraId="0879A35A" w14:textId="78DFAD62" w:rsidR="00427E7A" w:rsidRPr="00C660D4" w:rsidRDefault="00427E7A" w:rsidP="00DE047A">
            <w:pPr>
              <w:spacing w:after="0"/>
              <w:rPr>
                <w:rFonts w:cs="Arial"/>
                <w:sz w:val="22"/>
              </w:rPr>
            </w:pPr>
          </w:p>
        </w:tc>
      </w:tr>
      <w:tr w:rsidR="00350930" w14:paraId="0BFFF23B" w14:textId="77777777" w:rsidTr="000769DE">
        <w:trPr>
          <w:trHeight w:hRule="exact" w:val="647"/>
        </w:trPr>
        <w:tc>
          <w:tcPr>
            <w:tcW w:w="14029" w:type="dxa"/>
            <w:gridSpan w:val="7"/>
            <w:tcMar>
              <w:top w:w="57" w:type="dxa"/>
              <w:bottom w:w="57" w:type="dxa"/>
            </w:tcMar>
          </w:tcPr>
          <w:p w14:paraId="6B5D7453" w14:textId="23F8ACD6" w:rsidR="00350930" w:rsidRPr="00C660D4" w:rsidRDefault="00350930" w:rsidP="00C247F5">
            <w:pPr>
              <w:spacing w:after="0"/>
              <w:rPr>
                <w:rFonts w:cs="Arial"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Total budgeted cost</w:t>
            </w:r>
            <w:r w:rsidR="0034071F">
              <w:rPr>
                <w:rFonts w:cs="Arial"/>
                <w:b/>
                <w:sz w:val="22"/>
              </w:rPr>
              <w:t xml:space="preserve"> – </w:t>
            </w:r>
            <w:r w:rsidR="0034071F" w:rsidRPr="0034071F">
              <w:rPr>
                <w:rFonts w:cs="Arial"/>
                <w:sz w:val="20"/>
                <w:szCs w:val="20"/>
              </w:rPr>
              <w:t>GCSE Pod, Hegarty Maths</w:t>
            </w:r>
            <w:r w:rsidR="0034071F">
              <w:rPr>
                <w:rFonts w:cs="Arial"/>
                <w:sz w:val="20"/>
                <w:szCs w:val="20"/>
              </w:rPr>
              <w:t xml:space="preserve"> (£1500), Maths Mastery £9000, </w:t>
            </w:r>
            <w:r w:rsidR="00C247F5">
              <w:rPr>
                <w:rFonts w:cs="Arial"/>
                <w:sz w:val="20"/>
                <w:szCs w:val="20"/>
              </w:rPr>
              <w:t>Rag Development (£10,000), Period 7 (£10,000), Catchup across English/Maths (</w:t>
            </w:r>
            <w:r w:rsidR="00D23D3C">
              <w:rPr>
                <w:rFonts w:cs="Arial"/>
                <w:sz w:val="20"/>
                <w:szCs w:val="20"/>
              </w:rPr>
              <w:t>£33,578</w:t>
            </w:r>
            <w:r w:rsidR="00C247F5">
              <w:rPr>
                <w:rFonts w:cs="Arial"/>
                <w:sz w:val="20"/>
                <w:szCs w:val="20"/>
              </w:rPr>
              <w:t>). Library/Literacy Co-ordinator and further library resourcing (£40,000)</w:t>
            </w:r>
            <w:r w:rsidR="004F6FFA">
              <w:rPr>
                <w:rFonts w:cs="Arial"/>
                <w:sz w:val="20"/>
                <w:szCs w:val="20"/>
              </w:rPr>
              <w:t>, Revision Resources (£1500)</w:t>
            </w:r>
            <w:r w:rsidR="000026A6">
              <w:rPr>
                <w:rFonts w:cs="Arial"/>
                <w:sz w:val="20"/>
                <w:szCs w:val="20"/>
              </w:rPr>
              <w:t xml:space="preserve"> Reading Rampage (£7750)</w:t>
            </w:r>
          </w:p>
        </w:tc>
        <w:tc>
          <w:tcPr>
            <w:tcW w:w="1530" w:type="dxa"/>
          </w:tcPr>
          <w:p w14:paraId="7B447315" w14:textId="2BBA7BA7" w:rsidR="00350930" w:rsidRPr="00C660D4" w:rsidRDefault="00D23D3C" w:rsidP="00DE047A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£113,328</w:t>
            </w:r>
          </w:p>
        </w:tc>
      </w:tr>
      <w:tr w:rsidR="00992217" w14:paraId="3AD7F41C" w14:textId="77777777" w:rsidTr="000769DE">
        <w:trPr>
          <w:trHeight w:hRule="exact" w:val="458"/>
        </w:trPr>
        <w:tc>
          <w:tcPr>
            <w:tcW w:w="14029" w:type="dxa"/>
            <w:gridSpan w:val="7"/>
            <w:tcMar>
              <w:top w:w="57" w:type="dxa"/>
              <w:bottom w:w="57" w:type="dxa"/>
            </w:tcMar>
          </w:tcPr>
          <w:p w14:paraId="2D6CFF17" w14:textId="0186B627" w:rsidR="00992217" w:rsidRPr="00C660D4" w:rsidRDefault="00992217" w:rsidP="00DE047A">
            <w:pPr>
              <w:spacing w:after="0"/>
              <w:jc w:val="right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color w:val="FF0000"/>
                <w:sz w:val="22"/>
              </w:rPr>
              <w:t>Proportion of Total Spend</w:t>
            </w:r>
          </w:p>
        </w:tc>
        <w:tc>
          <w:tcPr>
            <w:tcW w:w="1530" w:type="dxa"/>
          </w:tcPr>
          <w:p w14:paraId="4982D2A6" w14:textId="429FD973" w:rsidR="00992217" w:rsidRPr="00C660D4" w:rsidRDefault="000769DE" w:rsidP="00DE047A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31%</w:t>
            </w:r>
          </w:p>
        </w:tc>
      </w:tr>
      <w:tr w:rsidR="00350930" w14:paraId="135A691D" w14:textId="77777777" w:rsidTr="009D244B">
        <w:trPr>
          <w:trHeight w:hRule="exact" w:val="355"/>
        </w:trPr>
        <w:tc>
          <w:tcPr>
            <w:tcW w:w="15559" w:type="dxa"/>
            <w:gridSpan w:val="8"/>
            <w:tcMar>
              <w:top w:w="57" w:type="dxa"/>
              <w:bottom w:w="57" w:type="dxa"/>
            </w:tcMar>
            <w:vAlign w:val="center"/>
          </w:tcPr>
          <w:p w14:paraId="74FC6FD0" w14:textId="0AA882B0" w:rsidR="00350930" w:rsidRPr="00C660D4" w:rsidRDefault="00350930" w:rsidP="0035093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Other approaches</w:t>
            </w:r>
            <w:r w:rsidR="00992217" w:rsidRPr="00C660D4">
              <w:rPr>
                <w:rFonts w:cs="Arial"/>
                <w:b/>
                <w:sz w:val="22"/>
              </w:rPr>
              <w:t xml:space="preserve"> </w:t>
            </w:r>
            <w:r w:rsidR="00992217" w:rsidRPr="00C660D4">
              <w:rPr>
                <w:rFonts w:cs="Arial"/>
                <w:b/>
                <w:color w:val="FF0000"/>
                <w:sz w:val="22"/>
              </w:rPr>
              <w:t>(e.g. behaviour support, breakfast clubs, attendance initiative, extra-curricular support)</w:t>
            </w:r>
          </w:p>
        </w:tc>
      </w:tr>
      <w:tr w:rsidR="00350930" w:rsidRPr="006D447D" w14:paraId="5CF538F6" w14:textId="77777777" w:rsidTr="000769DE">
        <w:tc>
          <w:tcPr>
            <w:tcW w:w="2226" w:type="dxa"/>
            <w:tcMar>
              <w:top w:w="57" w:type="dxa"/>
              <w:bottom w:w="57" w:type="dxa"/>
            </w:tcMar>
          </w:tcPr>
          <w:p w14:paraId="0E7F3C67" w14:textId="77777777" w:rsidR="00350930" w:rsidRPr="00C660D4" w:rsidRDefault="00350930" w:rsidP="00DE047A">
            <w:pPr>
              <w:spacing w:after="0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Desired outcome</w:t>
            </w:r>
          </w:p>
        </w:tc>
        <w:tc>
          <w:tcPr>
            <w:tcW w:w="3967" w:type="dxa"/>
            <w:gridSpan w:val="2"/>
            <w:tcMar>
              <w:top w:w="57" w:type="dxa"/>
              <w:bottom w:w="57" w:type="dxa"/>
            </w:tcMar>
          </w:tcPr>
          <w:p w14:paraId="423CFE1B" w14:textId="77777777" w:rsidR="00350930" w:rsidRPr="00C660D4" w:rsidRDefault="00350930" w:rsidP="00DE047A">
            <w:pPr>
              <w:spacing w:after="0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Chosen action / approach</w:t>
            </w:r>
          </w:p>
        </w:tc>
        <w:tc>
          <w:tcPr>
            <w:tcW w:w="3016" w:type="dxa"/>
            <w:gridSpan w:val="2"/>
            <w:tcMar>
              <w:top w:w="57" w:type="dxa"/>
              <w:bottom w:w="57" w:type="dxa"/>
            </w:tcMar>
          </w:tcPr>
          <w:p w14:paraId="38ED1E9C" w14:textId="77777777" w:rsidR="00350930" w:rsidRPr="00C660D4" w:rsidRDefault="00350930" w:rsidP="00DE047A">
            <w:pPr>
              <w:spacing w:after="0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What is the evidence and rationale for this choice?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7BBC277A" w14:textId="0604F0DA" w:rsidR="00350930" w:rsidRPr="00C660D4" w:rsidRDefault="00350930" w:rsidP="00DE047A">
            <w:pPr>
              <w:spacing w:after="0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How will you ensure it is implemented well eg. monitoring planned?</w:t>
            </w:r>
          </w:p>
        </w:tc>
        <w:tc>
          <w:tcPr>
            <w:tcW w:w="709" w:type="dxa"/>
          </w:tcPr>
          <w:p w14:paraId="7C43673B" w14:textId="77777777" w:rsidR="00350930" w:rsidRPr="00C660D4" w:rsidRDefault="00350930" w:rsidP="00DE047A">
            <w:pPr>
              <w:spacing w:after="0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Staff lead</w:t>
            </w:r>
          </w:p>
        </w:tc>
        <w:tc>
          <w:tcPr>
            <w:tcW w:w="1530" w:type="dxa"/>
          </w:tcPr>
          <w:p w14:paraId="40DC42A3" w14:textId="77777777" w:rsidR="00350930" w:rsidRPr="00C660D4" w:rsidRDefault="00350930" w:rsidP="00DE047A">
            <w:pPr>
              <w:spacing w:after="0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When will you review implementation?</w:t>
            </w:r>
          </w:p>
        </w:tc>
      </w:tr>
      <w:tr w:rsidR="00350930" w:rsidRPr="006D447D" w14:paraId="4384E1DC" w14:textId="77777777" w:rsidTr="000769DE">
        <w:trPr>
          <w:trHeight w:val="2695"/>
        </w:trPr>
        <w:tc>
          <w:tcPr>
            <w:tcW w:w="2226" w:type="dxa"/>
            <w:tcMar>
              <w:top w:w="57" w:type="dxa"/>
              <w:bottom w:w="57" w:type="dxa"/>
            </w:tcMar>
          </w:tcPr>
          <w:p w14:paraId="469715BA" w14:textId="0BCAECC0" w:rsidR="00350930" w:rsidRPr="00C660D4" w:rsidRDefault="00706166" w:rsidP="008D0B4C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 xml:space="preserve">Develop </w:t>
            </w:r>
            <w:r w:rsidR="008D0B4C">
              <w:rPr>
                <w:rFonts w:cs="Arial"/>
                <w:sz w:val="22"/>
                <w:szCs w:val="18"/>
              </w:rPr>
              <w:t xml:space="preserve">the engagement curriculum. </w:t>
            </w:r>
            <w:r>
              <w:rPr>
                <w:rFonts w:cs="Arial"/>
                <w:sz w:val="22"/>
                <w:szCs w:val="18"/>
              </w:rPr>
              <w:t xml:space="preserve"> </w:t>
            </w:r>
          </w:p>
        </w:tc>
        <w:tc>
          <w:tcPr>
            <w:tcW w:w="3967" w:type="dxa"/>
            <w:gridSpan w:val="2"/>
            <w:tcMar>
              <w:top w:w="57" w:type="dxa"/>
              <w:bottom w:w="57" w:type="dxa"/>
            </w:tcMar>
          </w:tcPr>
          <w:p w14:paraId="279FB2F3" w14:textId="1466D715" w:rsidR="00520E92" w:rsidRPr="00900479" w:rsidRDefault="00520E92" w:rsidP="00520E92">
            <w:pPr>
              <w:rPr>
                <w:sz w:val="18"/>
                <w:szCs w:val="18"/>
              </w:rPr>
            </w:pPr>
            <w:r w:rsidRPr="00900479">
              <w:rPr>
                <w:b/>
                <w:sz w:val="18"/>
                <w:szCs w:val="18"/>
              </w:rPr>
              <w:t>On-site provision</w:t>
            </w:r>
            <w:r w:rsidRPr="00900479">
              <w:rPr>
                <w:sz w:val="18"/>
                <w:szCs w:val="18"/>
              </w:rPr>
              <w:t xml:space="preserve"> for students struggling to engage with the curriculum due to emotional or behavioural needs [The Pyramid] </w:t>
            </w:r>
          </w:p>
          <w:p w14:paraId="24FEE0C2" w14:textId="77777777" w:rsidR="00706166" w:rsidRPr="00900479" w:rsidRDefault="00706166" w:rsidP="00706166">
            <w:pPr>
              <w:rPr>
                <w:sz w:val="18"/>
                <w:szCs w:val="18"/>
              </w:rPr>
            </w:pPr>
            <w:r w:rsidRPr="00900479">
              <w:rPr>
                <w:sz w:val="18"/>
                <w:szCs w:val="18"/>
              </w:rPr>
              <w:t xml:space="preserve">Prioritise disadvantaged students for </w:t>
            </w:r>
            <w:r w:rsidRPr="00900479">
              <w:rPr>
                <w:b/>
                <w:sz w:val="18"/>
                <w:szCs w:val="18"/>
              </w:rPr>
              <w:t>Careers interviews &amp; College/University visit days</w:t>
            </w:r>
          </w:p>
          <w:p w14:paraId="61013AC8" w14:textId="01C3BD96" w:rsidR="00706166" w:rsidRPr="00900479" w:rsidRDefault="00706166" w:rsidP="00706166">
            <w:pPr>
              <w:rPr>
                <w:b/>
                <w:sz w:val="18"/>
                <w:szCs w:val="18"/>
              </w:rPr>
            </w:pPr>
            <w:r w:rsidRPr="00900479">
              <w:rPr>
                <w:sz w:val="18"/>
                <w:szCs w:val="18"/>
              </w:rPr>
              <w:t xml:space="preserve">Increase the proportion of disadvantaged students participating in </w:t>
            </w:r>
            <w:r w:rsidRPr="00900479">
              <w:rPr>
                <w:b/>
                <w:sz w:val="18"/>
                <w:szCs w:val="18"/>
              </w:rPr>
              <w:t>enrichment activities.</w:t>
            </w:r>
          </w:p>
          <w:p w14:paraId="6F09FBAA" w14:textId="77777777" w:rsidR="00350930" w:rsidRDefault="00706166" w:rsidP="00706166">
            <w:pPr>
              <w:rPr>
                <w:sz w:val="18"/>
                <w:szCs w:val="18"/>
              </w:rPr>
            </w:pPr>
            <w:r w:rsidRPr="00900479">
              <w:rPr>
                <w:sz w:val="18"/>
                <w:szCs w:val="18"/>
              </w:rPr>
              <w:t xml:space="preserve">To establish and </w:t>
            </w:r>
            <w:r w:rsidRPr="00900479">
              <w:rPr>
                <w:b/>
                <w:sz w:val="18"/>
                <w:szCs w:val="18"/>
              </w:rPr>
              <w:t>embed ‘pivotal’</w:t>
            </w:r>
            <w:r w:rsidRPr="00900479">
              <w:rPr>
                <w:sz w:val="18"/>
                <w:szCs w:val="18"/>
              </w:rPr>
              <w:t xml:space="preserve"> approach to behaviour management.</w:t>
            </w:r>
          </w:p>
          <w:p w14:paraId="7FAF6B29" w14:textId="77777777" w:rsidR="000026A6" w:rsidRDefault="000026A6" w:rsidP="0070616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Pastoral lead to </w:t>
            </w:r>
            <w:r w:rsidRPr="000026A6">
              <w:rPr>
                <w:b/>
                <w:sz w:val="18"/>
                <w:szCs w:val="18"/>
              </w:rPr>
              <w:t>reduce exclusions of vulnerable students</w:t>
            </w:r>
          </w:p>
          <w:p w14:paraId="2D294AAD" w14:textId="1953CD54" w:rsidR="000026A6" w:rsidRPr="00706166" w:rsidRDefault="000026A6" w:rsidP="00706166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Counselling support </w:t>
            </w:r>
            <w:r w:rsidRPr="000026A6">
              <w:rPr>
                <w:sz w:val="18"/>
                <w:szCs w:val="18"/>
              </w:rPr>
              <w:t>for vulnerable students</w:t>
            </w:r>
          </w:p>
        </w:tc>
        <w:tc>
          <w:tcPr>
            <w:tcW w:w="3016" w:type="dxa"/>
            <w:gridSpan w:val="2"/>
            <w:tcMar>
              <w:top w:w="57" w:type="dxa"/>
              <w:bottom w:w="57" w:type="dxa"/>
            </w:tcMar>
          </w:tcPr>
          <w:p w14:paraId="6BCBF2A7" w14:textId="77777777" w:rsidR="00350930" w:rsidRDefault="00F35ED5" w:rsidP="00DE047A">
            <w:pPr>
              <w:spacing w:after="0"/>
            </w:pPr>
            <w:r w:rsidRPr="00D01F3A">
              <w:t>The EEF Toolkit suggests that targeted interventions matched to specific students with particular needs or behavioural issues can be effective, especially for older pupils.</w:t>
            </w:r>
          </w:p>
          <w:p w14:paraId="24229AFA" w14:textId="673F9E45" w:rsidR="000769DE" w:rsidRPr="00C660D4" w:rsidRDefault="000769DE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t>EEF +3 months Behaviour interventions EEF +4 months Social and emotional learning Behaviours identified as barrier to success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5EA03146" w14:textId="3A9918F7" w:rsidR="00350930" w:rsidRPr="00C660D4" w:rsidRDefault="000769DE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t>Improved Attitude to Learning through analysis of reporting. Improved predicted and actual outcomes. Student voice.</w:t>
            </w:r>
          </w:p>
        </w:tc>
        <w:tc>
          <w:tcPr>
            <w:tcW w:w="709" w:type="dxa"/>
          </w:tcPr>
          <w:p w14:paraId="0F33D0BB" w14:textId="77777777" w:rsidR="00350930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AMA</w:t>
            </w:r>
          </w:p>
          <w:p w14:paraId="59E695FB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21069E42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4A9896E9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AMA</w:t>
            </w:r>
          </w:p>
          <w:p w14:paraId="24C7F299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388F7A30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LSA</w:t>
            </w:r>
          </w:p>
          <w:p w14:paraId="7DEEAED5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5AC3E102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0A660AA9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428F3D12" w14:textId="7A9C1A3D" w:rsidR="00734161" w:rsidRPr="00C660D4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AMA/JAT</w:t>
            </w:r>
          </w:p>
        </w:tc>
        <w:tc>
          <w:tcPr>
            <w:tcW w:w="1530" w:type="dxa"/>
          </w:tcPr>
          <w:p w14:paraId="0C26B1EF" w14:textId="1176772F" w:rsidR="00350930" w:rsidRPr="00C660D4" w:rsidRDefault="00427E7A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Termly</w:t>
            </w:r>
          </w:p>
        </w:tc>
      </w:tr>
      <w:tr w:rsidR="00350930" w:rsidRPr="006D447D" w14:paraId="2877439A" w14:textId="77777777" w:rsidTr="000769DE">
        <w:trPr>
          <w:trHeight w:val="21"/>
        </w:trPr>
        <w:tc>
          <w:tcPr>
            <w:tcW w:w="2226" w:type="dxa"/>
            <w:tcMar>
              <w:top w:w="57" w:type="dxa"/>
              <w:bottom w:w="57" w:type="dxa"/>
            </w:tcMar>
          </w:tcPr>
          <w:p w14:paraId="5BD98C10" w14:textId="7070DAC0" w:rsidR="00350930" w:rsidRPr="00C660D4" w:rsidRDefault="008D0B4C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lastRenderedPageBreak/>
              <w:t xml:space="preserve">Improve the rate of attendance for our disadvantaged students. </w:t>
            </w:r>
          </w:p>
        </w:tc>
        <w:tc>
          <w:tcPr>
            <w:tcW w:w="3967" w:type="dxa"/>
            <w:gridSpan w:val="2"/>
            <w:tcMar>
              <w:top w:w="57" w:type="dxa"/>
              <w:bottom w:w="57" w:type="dxa"/>
            </w:tcMar>
          </w:tcPr>
          <w:p w14:paraId="5E371714" w14:textId="2EB1B1B1" w:rsidR="000026A6" w:rsidRPr="000026A6" w:rsidRDefault="00706166" w:rsidP="00706166">
            <w:pPr>
              <w:rPr>
                <w:sz w:val="18"/>
                <w:szCs w:val="18"/>
              </w:rPr>
            </w:pPr>
            <w:r w:rsidRPr="00900479">
              <w:rPr>
                <w:b/>
                <w:sz w:val="18"/>
                <w:szCs w:val="18"/>
              </w:rPr>
              <w:t>Attendance Team prioritise PP students</w:t>
            </w:r>
            <w:r w:rsidR="000026A6">
              <w:rPr>
                <w:b/>
                <w:sz w:val="18"/>
                <w:szCs w:val="18"/>
              </w:rPr>
              <w:t xml:space="preserve"> </w:t>
            </w:r>
            <w:r w:rsidR="000026A6" w:rsidRPr="000026A6">
              <w:rPr>
                <w:sz w:val="18"/>
                <w:szCs w:val="18"/>
              </w:rPr>
              <w:t>and lead a reviewed and refined strategy for the school</w:t>
            </w:r>
          </w:p>
          <w:p w14:paraId="43DF252B" w14:textId="77777777" w:rsidR="00350930" w:rsidRPr="00C660D4" w:rsidRDefault="00350930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</w:tc>
        <w:tc>
          <w:tcPr>
            <w:tcW w:w="3016" w:type="dxa"/>
            <w:gridSpan w:val="2"/>
            <w:tcMar>
              <w:top w:w="57" w:type="dxa"/>
              <w:bottom w:w="57" w:type="dxa"/>
            </w:tcMar>
          </w:tcPr>
          <w:p w14:paraId="3956D116" w14:textId="77777777" w:rsidR="00F35ED5" w:rsidRPr="00D01F3A" w:rsidRDefault="00F35ED5" w:rsidP="00F35ED5">
            <w:r w:rsidRPr="00D01F3A">
              <w:t xml:space="preserve">NfER briefing for school leaders identifies addressing attendance as a key step. </w:t>
            </w:r>
          </w:p>
          <w:p w14:paraId="62A1B6EA" w14:textId="77777777" w:rsidR="00350930" w:rsidRPr="00C660D4" w:rsidRDefault="00350930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486F0C6B" w14:textId="77777777" w:rsidR="00350930" w:rsidRDefault="000769DE" w:rsidP="00DE047A">
            <w:pPr>
              <w:spacing w:after="0"/>
            </w:pPr>
            <w:r>
              <w:t>Improved attendance (both to school and to lessons).</w:t>
            </w:r>
          </w:p>
          <w:p w14:paraId="70F3161B" w14:textId="073FAE64" w:rsidR="000769DE" w:rsidRPr="00C660D4" w:rsidRDefault="000769DE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t>Improved attendance of students entitled to Pupil Premium.</w:t>
            </w:r>
          </w:p>
        </w:tc>
        <w:tc>
          <w:tcPr>
            <w:tcW w:w="709" w:type="dxa"/>
          </w:tcPr>
          <w:p w14:paraId="3EAFC004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AMA/LSA</w:t>
            </w:r>
          </w:p>
          <w:p w14:paraId="0DCDAD5A" w14:textId="77777777" w:rsidR="00734161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</w:p>
          <w:p w14:paraId="38A4079D" w14:textId="5F067EEC" w:rsidR="00734161" w:rsidRPr="00C660D4" w:rsidRDefault="00734161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AMA</w:t>
            </w:r>
          </w:p>
        </w:tc>
        <w:tc>
          <w:tcPr>
            <w:tcW w:w="1530" w:type="dxa"/>
          </w:tcPr>
          <w:p w14:paraId="07C4EAFB" w14:textId="2B6CDABC" w:rsidR="00350930" w:rsidRPr="00C660D4" w:rsidRDefault="00427E7A" w:rsidP="00DE047A">
            <w:pPr>
              <w:spacing w:after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Weekly</w:t>
            </w:r>
          </w:p>
        </w:tc>
      </w:tr>
      <w:tr w:rsidR="00350930" w:rsidRPr="006D447D" w14:paraId="4F75E826" w14:textId="77777777" w:rsidTr="000769DE">
        <w:tc>
          <w:tcPr>
            <w:tcW w:w="14029" w:type="dxa"/>
            <w:gridSpan w:val="7"/>
            <w:tcMar>
              <w:top w:w="57" w:type="dxa"/>
              <w:bottom w:w="57" w:type="dxa"/>
            </w:tcMar>
          </w:tcPr>
          <w:p w14:paraId="02692911" w14:textId="3809836C" w:rsidR="00350930" w:rsidRPr="00C660D4" w:rsidRDefault="00350930" w:rsidP="0034071F">
            <w:pPr>
              <w:spacing w:after="0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sz w:val="22"/>
              </w:rPr>
              <w:t>Total budgeted cost</w:t>
            </w:r>
            <w:r w:rsidR="0034071F">
              <w:rPr>
                <w:rFonts w:cs="Arial"/>
                <w:b/>
                <w:sz w:val="22"/>
              </w:rPr>
              <w:t xml:space="preserve"> </w:t>
            </w:r>
            <w:r w:rsidR="0034071F">
              <w:rPr>
                <w:sz w:val="20"/>
                <w:szCs w:val="20"/>
              </w:rPr>
              <w:t>Additional staffing for Pyramid provision</w:t>
            </w:r>
            <w:r w:rsidR="00E4093D">
              <w:rPr>
                <w:sz w:val="20"/>
                <w:szCs w:val="20"/>
              </w:rPr>
              <w:t xml:space="preserve"> (£30,034), </w:t>
            </w:r>
            <w:r w:rsidR="000026A6">
              <w:rPr>
                <w:sz w:val="20"/>
                <w:szCs w:val="20"/>
              </w:rPr>
              <w:t xml:space="preserve">Pyramid Setup costs (£10,000) </w:t>
            </w:r>
            <w:r w:rsidR="00E4093D">
              <w:rPr>
                <w:sz w:val="20"/>
                <w:szCs w:val="20"/>
              </w:rPr>
              <w:t>EAL Intervention</w:t>
            </w:r>
            <w:r w:rsidR="000026A6">
              <w:rPr>
                <w:sz w:val="20"/>
                <w:szCs w:val="20"/>
              </w:rPr>
              <w:t xml:space="preserve"> and Interpreter</w:t>
            </w:r>
            <w:r w:rsidR="00E4093D">
              <w:rPr>
                <w:sz w:val="20"/>
                <w:szCs w:val="20"/>
              </w:rPr>
              <w:t xml:space="preserve"> (</w:t>
            </w:r>
            <w:r w:rsidR="000026A6">
              <w:rPr>
                <w:sz w:val="20"/>
                <w:szCs w:val="20"/>
              </w:rPr>
              <w:t xml:space="preserve">£19,541), </w:t>
            </w:r>
            <w:r w:rsidR="00E4093D">
              <w:rPr>
                <w:sz w:val="20"/>
                <w:szCs w:val="20"/>
              </w:rPr>
              <w:t>Additional Careers input</w:t>
            </w:r>
            <w:r w:rsidR="000026A6">
              <w:rPr>
                <w:sz w:val="20"/>
                <w:szCs w:val="20"/>
              </w:rPr>
              <w:t xml:space="preserve"> (£7092)</w:t>
            </w:r>
            <w:r w:rsidR="00E4093D">
              <w:rPr>
                <w:sz w:val="20"/>
                <w:szCs w:val="20"/>
              </w:rPr>
              <w:t>,</w:t>
            </w:r>
            <w:r w:rsidR="000026A6">
              <w:rPr>
                <w:sz w:val="20"/>
                <w:szCs w:val="20"/>
              </w:rPr>
              <w:t xml:space="preserve"> Additional Pastoral lead (£42843.75), In-school councillors (£27978) Loan Uniform Costs (£2000)</w:t>
            </w:r>
          </w:p>
        </w:tc>
        <w:tc>
          <w:tcPr>
            <w:tcW w:w="1530" w:type="dxa"/>
          </w:tcPr>
          <w:p w14:paraId="1759148B" w14:textId="282F6F92" w:rsidR="00350930" w:rsidRPr="00C660D4" w:rsidRDefault="00D23D3C" w:rsidP="00DE047A">
            <w:pPr>
              <w:spacing w:after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£139,488</w:t>
            </w:r>
          </w:p>
        </w:tc>
      </w:tr>
      <w:tr w:rsidR="00992217" w:rsidRPr="006D447D" w14:paraId="14292BC6" w14:textId="77777777" w:rsidTr="000769DE">
        <w:tc>
          <w:tcPr>
            <w:tcW w:w="14029" w:type="dxa"/>
            <w:gridSpan w:val="7"/>
            <w:tcMar>
              <w:top w:w="57" w:type="dxa"/>
              <w:bottom w:w="57" w:type="dxa"/>
            </w:tcMar>
          </w:tcPr>
          <w:p w14:paraId="6457B26B" w14:textId="604368B0" w:rsidR="00992217" w:rsidRPr="00C660D4" w:rsidRDefault="00992217" w:rsidP="00DE047A">
            <w:pPr>
              <w:spacing w:after="0"/>
              <w:jc w:val="right"/>
              <w:rPr>
                <w:rFonts w:cs="Arial"/>
                <w:b/>
                <w:sz w:val="22"/>
              </w:rPr>
            </w:pPr>
            <w:r w:rsidRPr="00C660D4">
              <w:rPr>
                <w:rFonts w:cs="Arial"/>
                <w:b/>
                <w:color w:val="FF0000"/>
                <w:sz w:val="22"/>
              </w:rPr>
              <w:t>Proportion of Total Spend</w:t>
            </w:r>
          </w:p>
        </w:tc>
        <w:tc>
          <w:tcPr>
            <w:tcW w:w="1530" w:type="dxa"/>
          </w:tcPr>
          <w:p w14:paraId="1364915C" w14:textId="650A441E" w:rsidR="00992217" w:rsidRPr="00C660D4" w:rsidRDefault="000769DE" w:rsidP="00DE047A">
            <w:pPr>
              <w:spacing w:after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38%</w:t>
            </w:r>
          </w:p>
        </w:tc>
      </w:tr>
      <w:tr w:rsidR="000769DE" w:rsidRPr="006D447D" w14:paraId="049A6F1A" w14:textId="77777777" w:rsidTr="000769DE">
        <w:tc>
          <w:tcPr>
            <w:tcW w:w="14029" w:type="dxa"/>
            <w:gridSpan w:val="7"/>
            <w:tcMar>
              <w:top w:w="57" w:type="dxa"/>
              <w:bottom w:w="57" w:type="dxa"/>
            </w:tcMar>
          </w:tcPr>
          <w:p w14:paraId="06DECB10" w14:textId="6A719FDA" w:rsidR="000769DE" w:rsidRPr="00C660D4" w:rsidRDefault="000769DE" w:rsidP="00DE047A">
            <w:pPr>
              <w:spacing w:after="0"/>
              <w:jc w:val="right"/>
              <w:rPr>
                <w:rFonts w:cs="Arial"/>
                <w:b/>
                <w:color w:val="FF0000"/>
                <w:sz w:val="22"/>
              </w:rPr>
            </w:pPr>
            <w:r>
              <w:rPr>
                <w:rFonts w:cs="Arial"/>
                <w:b/>
                <w:color w:val="FF0000"/>
                <w:sz w:val="22"/>
              </w:rPr>
              <w:t>Total Spend</w:t>
            </w:r>
          </w:p>
        </w:tc>
        <w:tc>
          <w:tcPr>
            <w:tcW w:w="1530" w:type="dxa"/>
          </w:tcPr>
          <w:p w14:paraId="2C20E268" w14:textId="2E7AB304" w:rsidR="000769DE" w:rsidRPr="00C660D4" w:rsidRDefault="000769DE" w:rsidP="00DE047A">
            <w:pPr>
              <w:spacing w:after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£364,516.75</w:t>
            </w:r>
          </w:p>
        </w:tc>
      </w:tr>
    </w:tbl>
    <w:p w14:paraId="3FEC5388" w14:textId="034DB22C" w:rsidR="00900479" w:rsidRDefault="00900479" w:rsidP="00350930">
      <w:pPr>
        <w:spacing w:after="0"/>
        <w:rPr>
          <w:rFonts w:cs="Arial"/>
        </w:rPr>
      </w:pPr>
    </w:p>
    <w:p w14:paraId="56B8F024" w14:textId="7007BB62" w:rsidR="000769DE" w:rsidRDefault="000769DE" w:rsidP="00350930">
      <w:pPr>
        <w:spacing w:after="0"/>
        <w:rPr>
          <w:rFonts w:cs="Arial"/>
        </w:rPr>
      </w:pPr>
    </w:p>
    <w:p w14:paraId="73AC8BEB" w14:textId="3EEC7E56" w:rsidR="000769DE" w:rsidRDefault="000769DE" w:rsidP="00350930">
      <w:pPr>
        <w:spacing w:after="0"/>
        <w:rPr>
          <w:rFonts w:cs="Arial"/>
        </w:rPr>
      </w:pPr>
    </w:p>
    <w:p w14:paraId="11B78808" w14:textId="24583B7B" w:rsidR="000769DE" w:rsidRDefault="000769DE" w:rsidP="00350930">
      <w:pPr>
        <w:spacing w:after="0"/>
        <w:rPr>
          <w:rFonts w:cs="Arial"/>
        </w:rPr>
      </w:pPr>
    </w:p>
    <w:p w14:paraId="67EEB2F3" w14:textId="3905D498" w:rsidR="000769DE" w:rsidRDefault="000769DE" w:rsidP="00350930">
      <w:pPr>
        <w:spacing w:after="0"/>
        <w:rPr>
          <w:rFonts w:cs="Arial"/>
        </w:rPr>
      </w:pPr>
    </w:p>
    <w:p w14:paraId="2FB9927A" w14:textId="24121726" w:rsidR="000769DE" w:rsidRDefault="000769DE" w:rsidP="00350930">
      <w:pPr>
        <w:spacing w:after="0"/>
        <w:rPr>
          <w:rFonts w:cs="Arial"/>
        </w:rPr>
      </w:pPr>
    </w:p>
    <w:p w14:paraId="650EC081" w14:textId="49EB2982" w:rsidR="000769DE" w:rsidRDefault="000769DE" w:rsidP="00350930">
      <w:pPr>
        <w:spacing w:after="0"/>
        <w:rPr>
          <w:rFonts w:cs="Arial"/>
        </w:rPr>
      </w:pPr>
    </w:p>
    <w:p w14:paraId="5DA431F9" w14:textId="264EC3A5" w:rsidR="000769DE" w:rsidRDefault="000769DE" w:rsidP="00350930">
      <w:pPr>
        <w:spacing w:after="0"/>
        <w:rPr>
          <w:rFonts w:cs="Arial"/>
        </w:rPr>
      </w:pPr>
    </w:p>
    <w:p w14:paraId="36B4465E" w14:textId="22517A39" w:rsidR="000769DE" w:rsidRDefault="000769DE" w:rsidP="00350930">
      <w:pPr>
        <w:spacing w:after="0"/>
        <w:rPr>
          <w:rFonts w:cs="Arial"/>
        </w:rPr>
      </w:pPr>
    </w:p>
    <w:p w14:paraId="2ACA9235" w14:textId="6ADA019B" w:rsidR="000769DE" w:rsidRDefault="000769DE" w:rsidP="00350930">
      <w:pPr>
        <w:spacing w:after="0"/>
        <w:rPr>
          <w:rFonts w:cs="Arial"/>
        </w:rPr>
      </w:pPr>
    </w:p>
    <w:p w14:paraId="487C792A" w14:textId="07C1EDAC" w:rsidR="000769DE" w:rsidRDefault="000769DE" w:rsidP="00350930">
      <w:pPr>
        <w:spacing w:after="0"/>
        <w:rPr>
          <w:rFonts w:cs="Arial"/>
        </w:rPr>
      </w:pPr>
    </w:p>
    <w:p w14:paraId="35C79B6E" w14:textId="2B95BDC5" w:rsidR="000769DE" w:rsidRDefault="000769DE" w:rsidP="00350930">
      <w:pPr>
        <w:spacing w:after="0"/>
        <w:rPr>
          <w:rFonts w:cs="Arial"/>
        </w:rPr>
      </w:pPr>
    </w:p>
    <w:p w14:paraId="2A9E0A48" w14:textId="5FAAC384" w:rsidR="000769DE" w:rsidRDefault="000769DE" w:rsidP="00350930">
      <w:pPr>
        <w:spacing w:after="0"/>
        <w:rPr>
          <w:rFonts w:cs="Arial"/>
        </w:rPr>
      </w:pPr>
    </w:p>
    <w:p w14:paraId="351B8096" w14:textId="7553D7AE" w:rsidR="000769DE" w:rsidRDefault="000769DE" w:rsidP="00350930">
      <w:pPr>
        <w:spacing w:after="0"/>
        <w:rPr>
          <w:rFonts w:cs="Arial"/>
        </w:rPr>
      </w:pPr>
    </w:p>
    <w:p w14:paraId="2C862353" w14:textId="7A3A1CB8" w:rsidR="000769DE" w:rsidRDefault="000769DE" w:rsidP="00350930">
      <w:pPr>
        <w:spacing w:after="0"/>
        <w:rPr>
          <w:rFonts w:cs="Arial"/>
        </w:rPr>
      </w:pPr>
    </w:p>
    <w:p w14:paraId="226CB2D6" w14:textId="5BBCBEA7" w:rsidR="000769DE" w:rsidRDefault="000769DE" w:rsidP="00350930">
      <w:pPr>
        <w:spacing w:after="0"/>
        <w:rPr>
          <w:rFonts w:cs="Arial"/>
        </w:rPr>
      </w:pPr>
    </w:p>
    <w:p w14:paraId="72EAF51D" w14:textId="19A825D2" w:rsidR="000769DE" w:rsidRDefault="000769DE" w:rsidP="00350930">
      <w:pPr>
        <w:spacing w:after="0"/>
        <w:rPr>
          <w:rFonts w:cs="Arial"/>
        </w:rPr>
      </w:pPr>
    </w:p>
    <w:p w14:paraId="62BF9C93" w14:textId="71B45B5B" w:rsidR="000769DE" w:rsidRDefault="000769DE" w:rsidP="00350930">
      <w:pPr>
        <w:spacing w:after="0"/>
        <w:rPr>
          <w:rFonts w:cs="Arial"/>
        </w:rPr>
      </w:pPr>
    </w:p>
    <w:p w14:paraId="2F21A0E1" w14:textId="54F5661B" w:rsidR="000769DE" w:rsidRDefault="000769DE" w:rsidP="00350930">
      <w:pPr>
        <w:spacing w:after="0"/>
        <w:rPr>
          <w:rFonts w:cs="Arial"/>
        </w:rPr>
      </w:pPr>
    </w:p>
    <w:p w14:paraId="655AFFDC" w14:textId="6127A195" w:rsidR="000769DE" w:rsidRDefault="000769DE" w:rsidP="00350930">
      <w:pPr>
        <w:spacing w:after="0"/>
        <w:rPr>
          <w:rFonts w:cs="Arial"/>
        </w:rPr>
      </w:pPr>
    </w:p>
    <w:p w14:paraId="486EBB87" w14:textId="18911F9D" w:rsidR="000769DE" w:rsidRDefault="000769DE" w:rsidP="00350930">
      <w:pPr>
        <w:spacing w:after="0"/>
        <w:rPr>
          <w:rFonts w:cs="Arial"/>
        </w:rPr>
      </w:pPr>
    </w:p>
    <w:p w14:paraId="1276823C" w14:textId="77777777" w:rsidR="000769DE" w:rsidRDefault="000769DE" w:rsidP="00350930">
      <w:pPr>
        <w:spacing w:after="0"/>
        <w:rPr>
          <w:rFonts w:cs="Arial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2093"/>
        <w:gridCol w:w="3005"/>
        <w:gridCol w:w="709"/>
        <w:gridCol w:w="4253"/>
        <w:gridCol w:w="5528"/>
      </w:tblGrid>
      <w:tr w:rsidR="00734161" w14:paraId="2187B9EB" w14:textId="77777777" w:rsidTr="00734161">
        <w:trPr>
          <w:gridAfter w:val="3"/>
          <w:wAfter w:w="10490" w:type="dxa"/>
        </w:trPr>
        <w:tc>
          <w:tcPr>
            <w:tcW w:w="509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8F184F9" w14:textId="2C6A18FB" w:rsidR="00734161" w:rsidRPr="008D5E6B" w:rsidRDefault="00734161" w:rsidP="00992217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8D5E6B">
              <w:rPr>
                <w:rFonts w:cs="Arial"/>
                <w:b/>
                <w:sz w:val="22"/>
                <w:szCs w:val="22"/>
              </w:rPr>
              <w:t>Previo</w:t>
            </w:r>
            <w:r w:rsidR="000769DE">
              <w:rPr>
                <w:rFonts w:cs="Arial"/>
                <w:b/>
                <w:sz w:val="22"/>
                <w:szCs w:val="22"/>
              </w:rPr>
              <w:t>us Academic Year</w:t>
            </w:r>
          </w:p>
        </w:tc>
      </w:tr>
      <w:tr w:rsidR="00734161" w14:paraId="63680ED7" w14:textId="77777777" w:rsidTr="00734161">
        <w:trPr>
          <w:trHeight w:val="937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7D6DAC18" w14:textId="77777777" w:rsidR="00734161" w:rsidRPr="008D5E6B" w:rsidRDefault="00734161" w:rsidP="00DE047A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D5E6B">
              <w:rPr>
                <w:rFonts w:cs="Arial"/>
                <w:b/>
                <w:sz w:val="20"/>
                <w:szCs w:val="20"/>
              </w:rPr>
              <w:t>Desired outcome</w:t>
            </w:r>
          </w:p>
        </w:tc>
        <w:tc>
          <w:tcPr>
            <w:tcW w:w="3714" w:type="dxa"/>
            <w:gridSpan w:val="2"/>
            <w:tcMar>
              <w:top w:w="57" w:type="dxa"/>
              <w:bottom w:w="57" w:type="dxa"/>
            </w:tcMar>
          </w:tcPr>
          <w:p w14:paraId="736FFEF7" w14:textId="77777777" w:rsidR="00734161" w:rsidRPr="008D5E6B" w:rsidRDefault="00734161" w:rsidP="00DE047A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D5E6B">
              <w:rPr>
                <w:rFonts w:cs="Arial"/>
                <w:b/>
                <w:sz w:val="20"/>
                <w:szCs w:val="20"/>
              </w:rPr>
              <w:t>Chosen action / 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2A953973" w14:textId="77777777" w:rsidR="00734161" w:rsidRPr="008D5E6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8D5E6B">
              <w:rPr>
                <w:rFonts w:cs="Arial"/>
                <w:b/>
                <w:sz w:val="20"/>
                <w:szCs w:val="20"/>
              </w:rPr>
              <w:t xml:space="preserve">Estimated impact: </w:t>
            </w:r>
            <w:r w:rsidRPr="008D5E6B">
              <w:rPr>
                <w:rFonts w:cs="Arial"/>
                <w:sz w:val="20"/>
                <w:szCs w:val="20"/>
              </w:rPr>
              <w:t>Did you meet the success criteria? Include impact on pupils not eligible for PP, if appropriate.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39C9C406" w14:textId="77777777" w:rsidR="00734161" w:rsidRPr="008D5E6B" w:rsidRDefault="00734161" w:rsidP="00DE047A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D5E6B">
              <w:rPr>
                <w:rFonts w:cs="Arial"/>
                <w:b/>
                <w:sz w:val="20"/>
                <w:szCs w:val="20"/>
              </w:rPr>
              <w:t xml:space="preserve">Lessons learned </w:t>
            </w:r>
          </w:p>
          <w:p w14:paraId="0C71EC74" w14:textId="77777777" w:rsidR="00734161" w:rsidRPr="008D5E6B" w:rsidRDefault="00734161" w:rsidP="00DE047A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D5E6B">
              <w:rPr>
                <w:rFonts w:cs="Arial"/>
                <w:sz w:val="20"/>
                <w:szCs w:val="20"/>
              </w:rPr>
              <w:t>(and whether you will continue with this approach)</w:t>
            </w:r>
          </w:p>
        </w:tc>
      </w:tr>
      <w:tr w:rsidR="00734161" w14:paraId="3DD7B128" w14:textId="77777777" w:rsidTr="00734161">
        <w:trPr>
          <w:trHeight w:hRule="exact" w:val="3213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2A0E4338" w14:textId="3D09D773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Improved progress at KS3 and 4.</w:t>
            </w:r>
          </w:p>
        </w:tc>
        <w:tc>
          <w:tcPr>
            <w:tcW w:w="3714" w:type="dxa"/>
            <w:gridSpan w:val="2"/>
            <w:tcMar>
              <w:top w:w="57" w:type="dxa"/>
              <w:bottom w:w="57" w:type="dxa"/>
            </w:tcMar>
          </w:tcPr>
          <w:p w14:paraId="7580BCF6" w14:textId="77777777" w:rsidR="00734161" w:rsidRPr="008D5E6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8D5E6B">
              <w:rPr>
                <w:rFonts w:cs="Arial"/>
                <w:sz w:val="20"/>
                <w:szCs w:val="20"/>
              </w:rPr>
              <w:t xml:space="preserve">PP students are put at an advantage in classroom- </w:t>
            </w:r>
          </w:p>
          <w:p w14:paraId="6D64ABFE" w14:textId="02C23AE7" w:rsidR="00734161" w:rsidRPr="008D5E6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8D5E6B">
              <w:rPr>
                <w:rFonts w:cs="Arial"/>
                <w:sz w:val="20"/>
                <w:szCs w:val="20"/>
              </w:rPr>
              <w:t>Key Consistencies</w:t>
            </w:r>
          </w:p>
          <w:p w14:paraId="705A5C1F" w14:textId="4AABDA2C" w:rsidR="00734161" w:rsidRPr="008D5E6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8D5E6B">
              <w:rPr>
                <w:rFonts w:cs="Arial"/>
                <w:sz w:val="20"/>
                <w:szCs w:val="20"/>
              </w:rPr>
              <w:t>Annotated Seating Plans</w:t>
            </w:r>
          </w:p>
          <w:p w14:paraId="3DDD9942" w14:textId="1BB7E540" w:rsidR="00734161" w:rsidRPr="008D5E6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8D5E6B">
              <w:rPr>
                <w:rFonts w:cs="Arial"/>
                <w:sz w:val="20"/>
                <w:szCs w:val="20"/>
              </w:rPr>
              <w:t>CAR Process and RAG Process</w:t>
            </w:r>
          </w:p>
          <w:p w14:paraId="78E27FEB" w14:textId="49130758" w:rsidR="00734161" w:rsidRPr="008D5E6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8D5E6B">
              <w:rPr>
                <w:rFonts w:cs="Arial"/>
                <w:sz w:val="20"/>
                <w:szCs w:val="20"/>
              </w:rPr>
              <w:t>Rosenshine Principles</w:t>
            </w:r>
          </w:p>
          <w:p w14:paraId="14C5BA3C" w14:textId="77777777" w:rsidR="00734161" w:rsidRPr="008D5E6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8D5E6B">
              <w:rPr>
                <w:rFonts w:cs="Arial"/>
                <w:sz w:val="20"/>
                <w:szCs w:val="20"/>
              </w:rPr>
              <w:t>PLC group</w:t>
            </w:r>
          </w:p>
          <w:p w14:paraId="0627F9B3" w14:textId="77777777" w:rsidR="00734161" w:rsidRPr="008D5E6B" w:rsidRDefault="00734161" w:rsidP="008D5E6B">
            <w:pPr>
              <w:rPr>
                <w:sz w:val="20"/>
                <w:szCs w:val="20"/>
              </w:rPr>
            </w:pPr>
            <w:r w:rsidRPr="008D5E6B">
              <w:rPr>
                <w:sz w:val="20"/>
                <w:szCs w:val="20"/>
              </w:rPr>
              <w:t xml:space="preserve">Feedback policy​​ clearly applied </w:t>
            </w:r>
          </w:p>
          <w:p w14:paraId="00359184" w14:textId="2F11336E" w:rsidR="00734161" w:rsidRPr="008D5E6B" w:rsidRDefault="00734161" w:rsidP="008D5E6B">
            <w:pPr>
              <w:rPr>
                <w:sz w:val="16"/>
                <w:szCs w:val="16"/>
              </w:rPr>
            </w:pPr>
            <w:r w:rsidRPr="008D5E6B">
              <w:rPr>
                <w:sz w:val="20"/>
                <w:szCs w:val="20"/>
              </w:rPr>
              <w:t>Reciprocal reading and Maths Mastery ​​curriculum developmen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3504D23" w14:textId="7A476207" w:rsidR="00734161" w:rsidRPr="008D5E6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8D5E6B">
              <w:rPr>
                <w:rFonts w:cs="Arial"/>
                <w:sz w:val="20"/>
                <w:szCs w:val="20"/>
              </w:rPr>
              <w:t>The quality of T&amp;L improved over the academic year. Teachers are engaged with the Woodfield’s Key Consistencies and the Rosenshine research. This is improving practice.</w:t>
            </w:r>
          </w:p>
          <w:p w14:paraId="1F8899EF" w14:textId="322A45F1" w:rsidR="00734161" w:rsidRPr="008D5E6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8D5E6B">
              <w:rPr>
                <w:rFonts w:cs="Arial"/>
                <w:sz w:val="20"/>
                <w:szCs w:val="20"/>
              </w:rPr>
              <w:t xml:space="preserve">The RAG process highlighted PP students in Y11, achievement was discussed in detail. </w:t>
            </w:r>
          </w:p>
          <w:p w14:paraId="221C2416" w14:textId="2F6A38DF" w:rsidR="00734161" w:rsidRPr="00AA2822" w:rsidRDefault="00734161" w:rsidP="00DE047A">
            <w:pPr>
              <w:spacing w:after="0"/>
              <w:rPr>
                <w:rFonts w:cs="Arial"/>
                <w:sz w:val="22"/>
                <w:szCs w:val="22"/>
              </w:rPr>
            </w:pPr>
            <w:r w:rsidRPr="008D5E6B">
              <w:rPr>
                <w:rFonts w:cs="Arial"/>
                <w:sz w:val="20"/>
                <w:szCs w:val="20"/>
              </w:rPr>
              <w:t>This led to an improved P8 score of -0.73. Although this is not where we want to be, it is improved vastly on previous years.</w:t>
            </w:r>
            <w:r w:rsidRPr="00AA282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339BA4FD" w14:textId="77777777" w:rsidR="00734161" w:rsidRPr="00AA2822" w:rsidRDefault="00734161" w:rsidP="00DE047A">
            <w:pPr>
              <w:spacing w:after="0"/>
              <w:rPr>
                <w:rFonts w:cs="Arial"/>
                <w:sz w:val="22"/>
                <w:szCs w:val="22"/>
              </w:rPr>
            </w:pPr>
            <w:r w:rsidRPr="00AA2822">
              <w:rPr>
                <w:rFonts w:cs="Arial"/>
                <w:sz w:val="22"/>
                <w:szCs w:val="22"/>
              </w:rPr>
              <w:t xml:space="preserve">This approach will continue. </w:t>
            </w:r>
          </w:p>
          <w:p w14:paraId="04F2B262" w14:textId="77777777" w:rsidR="00734161" w:rsidRPr="00AA2822" w:rsidRDefault="00734161" w:rsidP="00DE047A">
            <w:pPr>
              <w:spacing w:after="0"/>
              <w:rPr>
                <w:rFonts w:cs="Arial"/>
                <w:sz w:val="22"/>
                <w:szCs w:val="22"/>
              </w:rPr>
            </w:pPr>
            <w:r w:rsidRPr="00AA2822">
              <w:rPr>
                <w:rFonts w:cs="Arial"/>
                <w:sz w:val="22"/>
                <w:szCs w:val="22"/>
              </w:rPr>
              <w:t>Ensuring a research driven approach to raising the quality of T&amp;L in the classroom.</w:t>
            </w:r>
          </w:p>
          <w:p w14:paraId="60596020" w14:textId="77777777" w:rsidR="00734161" w:rsidRPr="00AA2822" w:rsidRDefault="00734161" w:rsidP="00DE047A">
            <w:pPr>
              <w:spacing w:after="0"/>
              <w:rPr>
                <w:rFonts w:cs="Arial"/>
                <w:sz w:val="22"/>
                <w:szCs w:val="22"/>
              </w:rPr>
            </w:pPr>
            <w:r w:rsidRPr="00AA2822">
              <w:rPr>
                <w:rFonts w:cs="Arial"/>
                <w:sz w:val="22"/>
                <w:szCs w:val="22"/>
              </w:rPr>
              <w:t>New capacity created with the Pupil Premium Champion will enable a deeper focus on specific strategies and QA of specific strategies.</w:t>
            </w:r>
          </w:p>
          <w:p w14:paraId="4A1F272D" w14:textId="77777777" w:rsidR="00734161" w:rsidRPr="00AA2822" w:rsidRDefault="00734161" w:rsidP="00DE047A">
            <w:pPr>
              <w:spacing w:after="0"/>
              <w:rPr>
                <w:rFonts w:cs="Arial"/>
                <w:sz w:val="22"/>
                <w:szCs w:val="22"/>
              </w:rPr>
            </w:pPr>
            <w:r w:rsidRPr="00AA2822">
              <w:rPr>
                <w:rFonts w:cs="Arial"/>
                <w:sz w:val="22"/>
                <w:szCs w:val="22"/>
              </w:rPr>
              <w:t>RAG Process is now extended to Y10.</w:t>
            </w:r>
          </w:p>
          <w:p w14:paraId="2CA11D23" w14:textId="78701350" w:rsidR="00734161" w:rsidRPr="00AA2822" w:rsidRDefault="00734161" w:rsidP="00DE047A">
            <w:pPr>
              <w:spacing w:after="0"/>
              <w:rPr>
                <w:rFonts w:cs="Arial"/>
                <w:sz w:val="22"/>
                <w:szCs w:val="22"/>
              </w:rPr>
            </w:pPr>
            <w:r w:rsidRPr="00AA2822">
              <w:rPr>
                <w:rFonts w:cs="Arial"/>
                <w:sz w:val="22"/>
                <w:szCs w:val="22"/>
              </w:rPr>
              <w:t xml:space="preserve">There needs to be a deeper approach to the QA of the CAR process. </w:t>
            </w:r>
          </w:p>
        </w:tc>
      </w:tr>
      <w:tr w:rsidR="00734161" w14:paraId="470EC020" w14:textId="77777777" w:rsidTr="00734161">
        <w:trPr>
          <w:trHeight w:hRule="exact" w:val="1762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16B4321C" w14:textId="44BE4B33" w:rsidR="00734161" w:rsidRPr="008D5E6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8D5E6B">
              <w:rPr>
                <w:rFonts w:cs="Arial"/>
                <w:sz w:val="20"/>
                <w:szCs w:val="20"/>
              </w:rPr>
              <w:t>An improved whole school approach to home learning</w:t>
            </w:r>
          </w:p>
        </w:tc>
        <w:tc>
          <w:tcPr>
            <w:tcW w:w="3714" w:type="dxa"/>
            <w:gridSpan w:val="2"/>
            <w:tcMar>
              <w:top w:w="57" w:type="dxa"/>
              <w:bottom w:w="57" w:type="dxa"/>
            </w:tcMar>
          </w:tcPr>
          <w:p w14:paraId="5DCBC2E8" w14:textId="07855788" w:rsidR="00734161" w:rsidRPr="008D5E6B" w:rsidRDefault="00734161" w:rsidP="008D5E6B">
            <w:pPr>
              <w:rPr>
                <w:sz w:val="20"/>
                <w:szCs w:val="20"/>
              </w:rPr>
            </w:pPr>
            <w:r w:rsidRPr="008D5E6B">
              <w:rPr>
                <w:sz w:val="20"/>
                <w:szCs w:val="20"/>
              </w:rPr>
              <w:t>Homework Clubs​​ Homework policy is research based and includes departmental audit on needs. A strategy for Frog is in place for use across the academy.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195FB740" w14:textId="77777777" w:rsidR="00734161" w:rsidRPr="008D5E6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8D5E6B">
              <w:rPr>
                <w:rFonts w:cs="Arial"/>
                <w:sz w:val="20"/>
                <w:szCs w:val="20"/>
              </w:rPr>
              <w:t>Frog was swiftly put into use through lockdown. Usage of Frog was limited for some students due to ICT access.</w:t>
            </w:r>
          </w:p>
          <w:p w14:paraId="208058E1" w14:textId="25F24814" w:rsidR="00734161" w:rsidRPr="008D5E6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8D5E6B">
              <w:rPr>
                <w:rFonts w:cs="Arial"/>
                <w:sz w:val="20"/>
                <w:szCs w:val="20"/>
              </w:rPr>
              <w:t xml:space="preserve">Limitations to homework club due to lack of capacity for Library use. 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1D7B9518" w14:textId="094EFBAC" w:rsidR="00734161" w:rsidRPr="008D5E6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8D5E6B">
              <w:rPr>
                <w:rFonts w:cs="Arial"/>
                <w:sz w:val="20"/>
                <w:szCs w:val="20"/>
              </w:rPr>
              <w:t>This approach will continue but will become a fuller and more detailed Remote Learning strategy to include the use of MS Teams.</w:t>
            </w:r>
          </w:p>
          <w:p w14:paraId="76DE70EC" w14:textId="77F79220" w:rsidR="00734161" w:rsidRPr="008D5E6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8D5E6B">
              <w:rPr>
                <w:rFonts w:cs="Arial"/>
                <w:sz w:val="20"/>
                <w:szCs w:val="20"/>
              </w:rPr>
              <w:t xml:space="preserve">A Library/Literacy interventions co-ordinator has been appointed to develop capacity for home learning and library use. </w:t>
            </w:r>
          </w:p>
        </w:tc>
      </w:tr>
      <w:tr w:rsidR="00734161" w14:paraId="6F316BBC" w14:textId="77777777" w:rsidTr="00734161">
        <w:trPr>
          <w:trHeight w:hRule="exact" w:val="4055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67C37E5B" w14:textId="0FA19FF4" w:rsidR="00734161" w:rsidRPr="00BE0133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BE0133">
              <w:rPr>
                <w:rFonts w:cs="Arial"/>
                <w:sz w:val="20"/>
                <w:szCs w:val="20"/>
              </w:rPr>
              <w:lastRenderedPageBreak/>
              <w:t>Improved Progress for HA Disadvantaged and LA Disadvantaged</w:t>
            </w:r>
          </w:p>
        </w:tc>
        <w:tc>
          <w:tcPr>
            <w:tcW w:w="3714" w:type="dxa"/>
            <w:gridSpan w:val="2"/>
            <w:tcMar>
              <w:top w:w="57" w:type="dxa"/>
              <w:bottom w:w="57" w:type="dxa"/>
            </w:tcMar>
          </w:tcPr>
          <w:p w14:paraId="5F337427" w14:textId="75125F96" w:rsidR="00734161" w:rsidRPr="008D5E6B" w:rsidRDefault="00734161" w:rsidP="00A42FDD">
            <w:pPr>
              <w:rPr>
                <w:sz w:val="20"/>
                <w:szCs w:val="20"/>
              </w:rPr>
            </w:pPr>
            <w:r w:rsidRPr="008D5E6B">
              <w:rPr>
                <w:sz w:val="20"/>
                <w:szCs w:val="20"/>
              </w:rPr>
              <w:t>Appraisal ​​ includes targets</w:t>
            </w:r>
            <w:r>
              <w:rPr>
                <w:sz w:val="20"/>
                <w:szCs w:val="20"/>
              </w:rPr>
              <w:t xml:space="preserve"> for </w:t>
            </w:r>
            <w:r w:rsidRPr="008D5E6B">
              <w:rPr>
                <w:sz w:val="20"/>
                <w:szCs w:val="20"/>
              </w:rPr>
              <w:t xml:space="preserve">disadvantaged students. </w:t>
            </w:r>
          </w:p>
          <w:p w14:paraId="12E0BB50" w14:textId="1DDE6463" w:rsidR="00734161" w:rsidRPr="008D5E6B" w:rsidRDefault="00734161" w:rsidP="00A42FDD">
            <w:pPr>
              <w:rPr>
                <w:sz w:val="20"/>
                <w:szCs w:val="20"/>
              </w:rPr>
            </w:pPr>
            <w:r w:rsidRPr="008D5E6B">
              <w:rPr>
                <w:sz w:val="20"/>
                <w:szCs w:val="20"/>
              </w:rPr>
              <w:t xml:space="preserve">Disadvantaged students in YR11 have an​ Assertive Mentor </w:t>
            </w:r>
          </w:p>
          <w:p w14:paraId="2117ED64" w14:textId="32DA2A32" w:rsidR="00734161" w:rsidRPr="008D5E6B" w:rsidRDefault="00734161" w:rsidP="00A42FDD">
            <w:pPr>
              <w:rPr>
                <w:sz w:val="20"/>
                <w:szCs w:val="20"/>
              </w:rPr>
            </w:pPr>
            <w:r w:rsidRPr="008D5E6B">
              <w:rPr>
                <w:sz w:val="20"/>
                <w:szCs w:val="20"/>
              </w:rPr>
              <w:t xml:space="preserve">More Able PP ​tracked as a cohort through data analysis and QA.​​ </w:t>
            </w:r>
          </w:p>
          <w:p w14:paraId="511D00F7" w14:textId="6F20DEFE" w:rsidR="00734161" w:rsidRPr="008D5E6B" w:rsidRDefault="00734161" w:rsidP="00A42FDD">
            <w:pPr>
              <w:rPr>
                <w:sz w:val="20"/>
                <w:szCs w:val="20"/>
              </w:rPr>
            </w:pPr>
            <w:r w:rsidRPr="008D5E6B">
              <w:rPr>
                <w:sz w:val="20"/>
                <w:szCs w:val="20"/>
              </w:rPr>
              <w:t xml:space="preserve">QA to ensure that differentiation and personalisation is evident in classrooms through QFT. </w:t>
            </w:r>
          </w:p>
          <w:p w14:paraId="51D35EC5" w14:textId="5AA2A3B3" w:rsidR="00734161" w:rsidRDefault="00734161" w:rsidP="008D5E6B">
            <w:r w:rsidRPr="008D5E6B">
              <w:rPr>
                <w:sz w:val="20"/>
                <w:szCs w:val="20"/>
              </w:rPr>
              <w:t>Y7 Keep In Touch visits from Y6 teachers/Headteachers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76C8C4D8" w14:textId="77777777" w:rsidR="00734161" w:rsidRPr="00BE0133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BE0133">
              <w:rPr>
                <w:rFonts w:cs="Arial"/>
                <w:sz w:val="20"/>
                <w:szCs w:val="20"/>
              </w:rPr>
              <w:t>The progress and attainment score for the disadvantaged students in terms of Y11 CAG achievements suggests an improvement.</w:t>
            </w:r>
          </w:p>
          <w:p w14:paraId="56FCF0CF" w14:textId="77777777" w:rsidR="00734161" w:rsidRPr="00BE0133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BE0133">
              <w:rPr>
                <w:rFonts w:cs="Arial"/>
                <w:sz w:val="20"/>
                <w:szCs w:val="20"/>
              </w:rPr>
              <w:t xml:space="preserve">However because of lockdown circumstances the impact on More Able and the Keep in Touch visits was minimal. </w:t>
            </w:r>
          </w:p>
          <w:p w14:paraId="34E7931E" w14:textId="15EB33D4" w:rsidR="00734161" w:rsidRDefault="00734161" w:rsidP="00DE047A">
            <w:pPr>
              <w:spacing w:after="0"/>
              <w:rPr>
                <w:rFonts w:cs="Arial"/>
              </w:rPr>
            </w:pPr>
            <w:r w:rsidRPr="00BE0133">
              <w:rPr>
                <w:rFonts w:cs="Arial"/>
                <w:sz w:val="20"/>
                <w:szCs w:val="20"/>
              </w:rPr>
              <w:t>The QA before lockdown suggested there was still improvements to be made in differentiation and personalisation in the classroom.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1D4FEEDF" w14:textId="77777777" w:rsidR="00734161" w:rsidRPr="00BE0133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BE0133">
              <w:rPr>
                <w:rFonts w:cs="Arial"/>
                <w:sz w:val="20"/>
                <w:szCs w:val="20"/>
              </w:rPr>
              <w:t xml:space="preserve">PP Champion to provide more capacity for Coaching and mentoring for Y11. </w:t>
            </w:r>
          </w:p>
          <w:p w14:paraId="06030A90" w14:textId="77777777" w:rsidR="00734161" w:rsidRPr="00BE0133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BE0133">
              <w:rPr>
                <w:rFonts w:cs="Arial"/>
                <w:sz w:val="20"/>
                <w:szCs w:val="20"/>
              </w:rPr>
              <w:t>Also, for tracking of specific cohorts for Y11.</w:t>
            </w:r>
          </w:p>
          <w:p w14:paraId="46CC51EB" w14:textId="77777777" w:rsidR="00734161" w:rsidRPr="00BE0133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BE0133">
              <w:rPr>
                <w:rFonts w:cs="Arial"/>
                <w:sz w:val="20"/>
                <w:szCs w:val="20"/>
              </w:rPr>
              <w:t xml:space="preserve">QFT and CPD to focus on differentiation and personalisation. </w:t>
            </w:r>
          </w:p>
          <w:p w14:paraId="3303C0CA" w14:textId="53548E6E" w:rsidR="00734161" w:rsidRDefault="00734161" w:rsidP="00DE047A">
            <w:pPr>
              <w:spacing w:after="0"/>
              <w:rPr>
                <w:rFonts w:cs="Arial"/>
              </w:rPr>
            </w:pPr>
            <w:r w:rsidRPr="00BE0133">
              <w:rPr>
                <w:rFonts w:cs="Arial"/>
                <w:sz w:val="20"/>
                <w:szCs w:val="20"/>
              </w:rPr>
              <w:t>If coronavirus circumstances allow, AP Engagement will explore Keep In Touch visits.</w:t>
            </w:r>
            <w:r>
              <w:rPr>
                <w:rFonts w:cs="Arial"/>
              </w:rPr>
              <w:t xml:space="preserve"> </w:t>
            </w:r>
          </w:p>
        </w:tc>
      </w:tr>
      <w:tr w:rsidR="00734161" w:rsidRPr="006D447D" w14:paraId="461202A6" w14:textId="77777777" w:rsidTr="00734161">
        <w:tc>
          <w:tcPr>
            <w:tcW w:w="2093" w:type="dxa"/>
            <w:tcMar>
              <w:top w:w="57" w:type="dxa"/>
              <w:bottom w:w="57" w:type="dxa"/>
            </w:tcMar>
          </w:tcPr>
          <w:p w14:paraId="64E25701" w14:textId="77777777" w:rsidR="00734161" w:rsidRPr="006D447D" w:rsidRDefault="00734161" w:rsidP="00DE047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Desired o</w:t>
            </w:r>
            <w:r w:rsidRPr="006D447D">
              <w:rPr>
                <w:rFonts w:cs="Arial"/>
                <w:b/>
              </w:rPr>
              <w:t>utcome</w:t>
            </w:r>
          </w:p>
        </w:tc>
        <w:tc>
          <w:tcPr>
            <w:tcW w:w="3714" w:type="dxa"/>
            <w:gridSpan w:val="2"/>
            <w:tcMar>
              <w:top w:w="57" w:type="dxa"/>
              <w:bottom w:w="57" w:type="dxa"/>
            </w:tcMar>
          </w:tcPr>
          <w:p w14:paraId="5A309C66" w14:textId="77777777" w:rsidR="00734161" w:rsidRPr="006D447D" w:rsidRDefault="00734161" w:rsidP="00DE047A">
            <w:pPr>
              <w:spacing w:after="0"/>
              <w:rPr>
                <w:rFonts w:cs="Arial"/>
                <w:b/>
              </w:rPr>
            </w:pPr>
            <w:r w:rsidRPr="006D447D">
              <w:rPr>
                <w:rFonts w:cs="Arial"/>
                <w:b/>
              </w:rPr>
              <w:t xml:space="preserve">Chosen </w:t>
            </w:r>
            <w:r>
              <w:rPr>
                <w:rFonts w:cs="Arial"/>
                <w:b/>
              </w:rPr>
              <w:t xml:space="preserve">action / </w:t>
            </w:r>
            <w:r w:rsidRPr="006D447D">
              <w:rPr>
                <w:rFonts w:cs="Arial"/>
                <w:b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15ECE97F" w14:textId="77777777" w:rsidR="00734161" w:rsidRPr="005A04D4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Estimated impact: </w:t>
            </w:r>
            <w:r>
              <w:rPr>
                <w:rFonts w:cs="Arial"/>
              </w:rPr>
              <w:t>Did you meet the success criteria</w:t>
            </w:r>
            <w:r w:rsidRPr="007335B7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I</w:t>
            </w:r>
            <w:r w:rsidRPr="00F93C25">
              <w:rPr>
                <w:rFonts w:cs="Arial"/>
              </w:rPr>
              <w:t>nclude impact on pupils not eli</w:t>
            </w:r>
            <w:r>
              <w:rPr>
                <w:rFonts w:cs="Arial"/>
              </w:rPr>
              <w:t>gible for PP, if appropriate.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3CC66AF4" w14:textId="77777777" w:rsidR="00734161" w:rsidRDefault="00734161" w:rsidP="00DE047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Lessons learned </w:t>
            </w:r>
          </w:p>
          <w:p w14:paraId="2301E6DD" w14:textId="77777777" w:rsidR="00734161" w:rsidRPr="006D447D" w:rsidRDefault="00734161" w:rsidP="00DE047A">
            <w:pPr>
              <w:spacing w:after="0"/>
              <w:rPr>
                <w:rFonts w:cs="Arial"/>
                <w:b/>
              </w:rPr>
            </w:pPr>
            <w:r w:rsidRPr="007335B7">
              <w:rPr>
                <w:rFonts w:cs="Arial"/>
              </w:rPr>
              <w:t>(and whether you will continue with this approach)</w:t>
            </w:r>
          </w:p>
        </w:tc>
      </w:tr>
      <w:tr w:rsidR="00734161" w14:paraId="0A59B2C3" w14:textId="77777777" w:rsidTr="00734161">
        <w:trPr>
          <w:trHeight w:hRule="exact" w:val="2752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3BFC72CC" w14:textId="38F3DDB2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Behavioural issues are addressed</w:t>
            </w:r>
          </w:p>
        </w:tc>
        <w:tc>
          <w:tcPr>
            <w:tcW w:w="3714" w:type="dxa"/>
            <w:gridSpan w:val="2"/>
            <w:tcMar>
              <w:top w:w="57" w:type="dxa"/>
              <w:bottom w:w="57" w:type="dxa"/>
            </w:tcMar>
          </w:tcPr>
          <w:p w14:paraId="0AE2F330" w14:textId="02BCF55B" w:rsidR="00734161" w:rsidRPr="00B6101B" w:rsidRDefault="00734161" w:rsidP="00B6101B">
            <w:pPr>
              <w:rPr>
                <w:sz w:val="20"/>
                <w:szCs w:val="20"/>
              </w:rPr>
            </w:pPr>
            <w:r w:rsidRPr="00B6101B">
              <w:rPr>
                <w:sz w:val="20"/>
                <w:szCs w:val="20"/>
              </w:rPr>
              <w:t>The Pyramid opens and enables disadvantaged students with challenging behaviours to learn. Developing key links with outside partners for alternative provision.</w:t>
            </w:r>
          </w:p>
          <w:p w14:paraId="5ECCC371" w14:textId="1AD58A61" w:rsidR="00734161" w:rsidRPr="00B6101B" w:rsidRDefault="00734161" w:rsidP="00B6101B">
            <w:r w:rsidRPr="00B6101B">
              <w:rPr>
                <w:sz w:val="20"/>
                <w:szCs w:val="20"/>
              </w:rPr>
              <w:t>A ​whole school behaviour strategy​​ focused on Low Level Disruption.</w:t>
            </w:r>
            <w:r>
              <w:t xml:space="preserve"> 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011F1C4" w14:textId="77777777" w:rsidR="00734161" w:rsidRPr="00B6101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  <w:r w:rsidRPr="00B6101B">
              <w:rPr>
                <w:rFonts w:cs="Arial"/>
                <w:sz w:val="20"/>
                <w:szCs w:val="20"/>
              </w:rPr>
              <w:t>The Pyramid has been set up but unfortunately coronavirus lockdown delayed the opening of this resource</w:t>
            </w:r>
          </w:p>
          <w:p w14:paraId="1B7EE99D" w14:textId="77777777" w:rsidR="00734161" w:rsidRPr="00B6101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0729CE4" w14:textId="00C4FD48" w:rsidR="00734161" w:rsidRDefault="00734161" w:rsidP="00DE047A">
            <w:pPr>
              <w:spacing w:after="0"/>
              <w:rPr>
                <w:rFonts w:cs="Arial"/>
              </w:rPr>
            </w:pPr>
            <w:r w:rsidRPr="00B6101B">
              <w:rPr>
                <w:rFonts w:cs="Arial"/>
                <w:sz w:val="20"/>
                <w:szCs w:val="20"/>
              </w:rPr>
              <w:t>The whole school behaviour policy has been shown to be successful in reducing low-level disruption, however more analysis of PP needs to be done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66AB4A5D" w14:textId="77777777" w:rsidR="00734161" w:rsidRPr="00B6101B" w:rsidRDefault="00734161" w:rsidP="00DE047A">
            <w:pPr>
              <w:spacing w:after="0"/>
              <w:rPr>
                <w:rFonts w:cs="Arial"/>
                <w:sz w:val="22"/>
                <w:szCs w:val="22"/>
              </w:rPr>
            </w:pPr>
            <w:r w:rsidRPr="00B6101B">
              <w:rPr>
                <w:rFonts w:cs="Arial"/>
                <w:sz w:val="22"/>
                <w:szCs w:val="22"/>
              </w:rPr>
              <w:t>We are continuing to move forward with the Pyramid resource.</w:t>
            </w:r>
          </w:p>
          <w:p w14:paraId="5E369234" w14:textId="77777777" w:rsidR="00734161" w:rsidRPr="00B6101B" w:rsidRDefault="00734161" w:rsidP="00DE047A">
            <w:pPr>
              <w:spacing w:after="0"/>
              <w:rPr>
                <w:rFonts w:cs="Arial"/>
                <w:sz w:val="22"/>
                <w:szCs w:val="22"/>
              </w:rPr>
            </w:pPr>
          </w:p>
          <w:p w14:paraId="77F9C4AC" w14:textId="6C444226" w:rsidR="00734161" w:rsidRDefault="00734161" w:rsidP="00DE047A">
            <w:pPr>
              <w:spacing w:after="0"/>
              <w:rPr>
                <w:rFonts w:cs="Arial"/>
              </w:rPr>
            </w:pPr>
            <w:r w:rsidRPr="00B6101B">
              <w:rPr>
                <w:rFonts w:cs="Arial"/>
                <w:sz w:val="22"/>
                <w:szCs w:val="22"/>
              </w:rPr>
              <w:t>The behaviour policy has been updated and reviewed, with CPD developed to support staff in reducing incidents.</w:t>
            </w:r>
            <w:r>
              <w:rPr>
                <w:rFonts w:cs="Arial"/>
              </w:rPr>
              <w:t xml:space="preserve"> </w:t>
            </w:r>
          </w:p>
        </w:tc>
      </w:tr>
      <w:tr w:rsidR="00734161" w14:paraId="29ADEDFD" w14:textId="77777777" w:rsidTr="00734161">
        <w:trPr>
          <w:trHeight w:hRule="exact" w:val="6582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2E2BA0BB" w14:textId="1AFAF781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To improve the attendance of our disadvantaged students</w:t>
            </w:r>
          </w:p>
        </w:tc>
        <w:tc>
          <w:tcPr>
            <w:tcW w:w="3714" w:type="dxa"/>
            <w:gridSpan w:val="2"/>
            <w:tcMar>
              <w:top w:w="57" w:type="dxa"/>
              <w:bottom w:w="57" w:type="dxa"/>
            </w:tcMar>
          </w:tcPr>
          <w:p w14:paraId="657C25F7" w14:textId="66A87CDB" w:rsidR="00734161" w:rsidRPr="00B6101B" w:rsidRDefault="00734161" w:rsidP="00B6101B">
            <w:pPr>
              <w:rPr>
                <w:sz w:val="20"/>
                <w:szCs w:val="20"/>
              </w:rPr>
            </w:pPr>
            <w:r w:rsidRPr="00B6101B">
              <w:rPr>
                <w:sz w:val="20"/>
                <w:szCs w:val="20"/>
              </w:rPr>
              <w:t>Implement and ensure success of Apollo time. PP students are ‘seen first’ by Apollo tutors</w:t>
            </w:r>
          </w:p>
          <w:p w14:paraId="717D4CB1" w14:textId="29F34C82" w:rsidR="00734161" w:rsidRPr="00B6101B" w:rsidRDefault="00734161" w:rsidP="00B6101B">
            <w:pPr>
              <w:rPr>
                <w:sz w:val="20"/>
                <w:szCs w:val="20"/>
              </w:rPr>
            </w:pPr>
            <w:r w:rsidRPr="00B6101B">
              <w:rPr>
                <w:sz w:val="20"/>
                <w:szCs w:val="20"/>
              </w:rPr>
              <w:t xml:space="preserve">Attendance strategy </w:t>
            </w:r>
            <w:r>
              <w:rPr>
                <w:sz w:val="20"/>
                <w:szCs w:val="20"/>
              </w:rPr>
              <w:t>employed across academy i</w:t>
            </w:r>
            <w:r w:rsidRPr="00B6101B">
              <w:rPr>
                <w:sz w:val="20"/>
                <w:szCs w:val="20"/>
              </w:rPr>
              <w:t>ncludes:</w:t>
            </w:r>
          </w:p>
          <w:p w14:paraId="5233B33A" w14:textId="77777777" w:rsidR="00734161" w:rsidRPr="00B6101B" w:rsidRDefault="00734161" w:rsidP="00B6101B">
            <w:pPr>
              <w:rPr>
                <w:sz w:val="20"/>
                <w:szCs w:val="20"/>
              </w:rPr>
            </w:pPr>
            <w:r w:rsidRPr="00B6101B">
              <w:rPr>
                <w:sz w:val="20"/>
                <w:szCs w:val="20"/>
              </w:rPr>
              <w:t xml:space="preserve">Apollo tutors to have ​‘return to school’ conversation​​s with pupils when absent and act accordingly </w:t>
            </w:r>
          </w:p>
          <w:p w14:paraId="246F8BFE" w14:textId="77777777" w:rsidR="00734161" w:rsidRPr="00B6101B" w:rsidRDefault="00734161" w:rsidP="00B6101B">
            <w:pPr>
              <w:rPr>
                <w:sz w:val="20"/>
                <w:szCs w:val="20"/>
              </w:rPr>
            </w:pPr>
            <w:r w:rsidRPr="00B6101B">
              <w:rPr>
                <w:sz w:val="20"/>
                <w:szCs w:val="20"/>
              </w:rPr>
              <w:t xml:space="preserve">Year list of ​pupil premium PA for ​home visits​​. </w:t>
            </w:r>
          </w:p>
          <w:p w14:paraId="665A5388" w14:textId="77777777" w:rsidR="00734161" w:rsidRPr="00B6101B" w:rsidRDefault="00734161" w:rsidP="00B6101B">
            <w:pPr>
              <w:rPr>
                <w:sz w:val="20"/>
                <w:szCs w:val="20"/>
              </w:rPr>
            </w:pPr>
            <w:r w:rsidRPr="00B6101B">
              <w:rPr>
                <w:sz w:val="20"/>
                <w:szCs w:val="20"/>
              </w:rPr>
              <w:t xml:space="preserve">Panel meetings with governors. </w:t>
            </w:r>
          </w:p>
          <w:p w14:paraId="0C5D11E3" w14:textId="77777777" w:rsidR="00734161" w:rsidRDefault="00734161" w:rsidP="00B6101B">
            <w:pPr>
              <w:rPr>
                <w:sz w:val="20"/>
                <w:szCs w:val="20"/>
              </w:rPr>
            </w:pPr>
            <w:r w:rsidRPr="00B6101B">
              <w:rPr>
                <w:sz w:val="20"/>
                <w:szCs w:val="20"/>
              </w:rPr>
              <w:t xml:space="preserve">Attendance staff​​ prioritise Disadvantaged students: day 1 calls, visits, parental meetings, collect students.  </w:t>
            </w:r>
          </w:p>
          <w:p w14:paraId="68CABCA4" w14:textId="50A95CE1" w:rsidR="00734161" w:rsidRPr="00B6101B" w:rsidRDefault="00734161" w:rsidP="00B6101B">
            <w:pPr>
              <w:rPr>
                <w:sz w:val="20"/>
                <w:szCs w:val="20"/>
              </w:rPr>
            </w:pPr>
            <w:r w:rsidRPr="00B6101B">
              <w:rPr>
                <w:sz w:val="20"/>
                <w:szCs w:val="20"/>
              </w:rPr>
              <w:t>Transition work​​ with primaries to identify key students prior to start at Academy and plan in place</w:t>
            </w:r>
          </w:p>
          <w:p w14:paraId="5AC2011F" w14:textId="77777777" w:rsidR="00734161" w:rsidRPr="00B6101B" w:rsidRDefault="00734161" w:rsidP="00DE04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5FB1DE46" w14:textId="3A7A203C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Attendance did not improve during the academic year up to lockdown. This is an area that needs to be looked at urgently this year. 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123F90F0" w14:textId="77777777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The attendance policy has been updated and reviewed.</w:t>
            </w:r>
          </w:p>
          <w:p w14:paraId="45A8FF5E" w14:textId="07CE1EE9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Capacity has been added through new members to the team. This includes support allocated through the Trust. </w:t>
            </w:r>
          </w:p>
        </w:tc>
      </w:tr>
      <w:tr w:rsidR="00734161" w:rsidRPr="006D447D" w14:paraId="33792248" w14:textId="77777777" w:rsidTr="00734161">
        <w:tc>
          <w:tcPr>
            <w:tcW w:w="2093" w:type="dxa"/>
            <w:tcMar>
              <w:top w:w="57" w:type="dxa"/>
              <w:bottom w:w="57" w:type="dxa"/>
            </w:tcMar>
          </w:tcPr>
          <w:p w14:paraId="7828D527" w14:textId="77777777" w:rsidR="00734161" w:rsidRPr="006D447D" w:rsidRDefault="00734161" w:rsidP="00DE047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Desired o</w:t>
            </w:r>
            <w:r w:rsidRPr="006D447D">
              <w:rPr>
                <w:rFonts w:cs="Arial"/>
                <w:b/>
              </w:rPr>
              <w:t>utcome</w:t>
            </w:r>
          </w:p>
        </w:tc>
        <w:tc>
          <w:tcPr>
            <w:tcW w:w="3714" w:type="dxa"/>
            <w:gridSpan w:val="2"/>
            <w:tcMar>
              <w:top w:w="57" w:type="dxa"/>
              <w:bottom w:w="57" w:type="dxa"/>
            </w:tcMar>
          </w:tcPr>
          <w:p w14:paraId="51862896" w14:textId="77777777" w:rsidR="00734161" w:rsidRPr="006D447D" w:rsidRDefault="00734161" w:rsidP="00DE047A">
            <w:pPr>
              <w:spacing w:after="0"/>
              <w:rPr>
                <w:rFonts w:cs="Arial"/>
                <w:b/>
              </w:rPr>
            </w:pPr>
            <w:r w:rsidRPr="006D447D">
              <w:rPr>
                <w:rFonts w:cs="Arial"/>
                <w:b/>
              </w:rPr>
              <w:t xml:space="preserve">Chosen </w:t>
            </w:r>
            <w:r>
              <w:rPr>
                <w:rFonts w:cs="Arial"/>
                <w:b/>
              </w:rPr>
              <w:t xml:space="preserve">action / </w:t>
            </w:r>
            <w:r w:rsidRPr="006D447D">
              <w:rPr>
                <w:rFonts w:cs="Arial"/>
                <w:b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22CFE03B" w14:textId="77777777" w:rsidR="00734161" w:rsidRPr="005A04D4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Estimated impact: </w:t>
            </w:r>
            <w:r>
              <w:rPr>
                <w:rFonts w:cs="Arial"/>
              </w:rPr>
              <w:t>Did you meet the success criteria</w:t>
            </w:r>
            <w:r w:rsidRPr="007335B7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I</w:t>
            </w:r>
            <w:r w:rsidRPr="00F93C25">
              <w:rPr>
                <w:rFonts w:cs="Arial"/>
              </w:rPr>
              <w:t>nclude impact on pupils not eli</w:t>
            </w:r>
            <w:r>
              <w:rPr>
                <w:rFonts w:cs="Arial"/>
              </w:rPr>
              <w:t>gible for PP, if appropriate.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1BD9F3D4" w14:textId="77777777" w:rsidR="00734161" w:rsidRDefault="00734161" w:rsidP="00DE047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Lessons learned </w:t>
            </w:r>
          </w:p>
          <w:p w14:paraId="136BCEEE" w14:textId="77777777" w:rsidR="00734161" w:rsidRPr="006D447D" w:rsidRDefault="00734161" w:rsidP="00DE047A">
            <w:pPr>
              <w:spacing w:after="0"/>
              <w:rPr>
                <w:rFonts w:cs="Arial"/>
                <w:b/>
              </w:rPr>
            </w:pPr>
            <w:r w:rsidRPr="007335B7">
              <w:rPr>
                <w:rFonts w:cs="Arial"/>
              </w:rPr>
              <w:t>(and whether you will continue with this approach)</w:t>
            </w:r>
          </w:p>
        </w:tc>
      </w:tr>
      <w:tr w:rsidR="00734161" w14:paraId="7DEF6D04" w14:textId="77777777" w:rsidTr="00734161">
        <w:trPr>
          <w:trHeight w:hRule="exact" w:val="661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4924F2D5" w14:textId="1CEE833B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NEETS</w:t>
            </w:r>
          </w:p>
        </w:tc>
        <w:tc>
          <w:tcPr>
            <w:tcW w:w="3714" w:type="dxa"/>
            <w:gridSpan w:val="2"/>
            <w:tcMar>
              <w:top w:w="57" w:type="dxa"/>
              <w:bottom w:w="57" w:type="dxa"/>
            </w:tcMar>
          </w:tcPr>
          <w:p w14:paraId="0673AFEE" w14:textId="77777777" w:rsidR="00734161" w:rsidRPr="00A42FDD" w:rsidRDefault="00734161" w:rsidP="008D5E6B">
            <w:pPr>
              <w:rPr>
                <w:sz w:val="22"/>
                <w:szCs w:val="22"/>
              </w:rPr>
            </w:pPr>
            <w:r>
              <w:t>Quality ​Careers advice and guidance for whole school prioritises PP students</w:t>
            </w:r>
          </w:p>
          <w:p w14:paraId="2984A494" w14:textId="77777777" w:rsidR="00734161" w:rsidRDefault="00734161" w:rsidP="00DE047A">
            <w:pPr>
              <w:spacing w:after="0"/>
              <w:rPr>
                <w:rFonts w:cs="Arial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60AA9B61" w14:textId="006A4B19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Impact low due to lockdown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0C17BB5F" w14:textId="211E030B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This will continue for this year</w:t>
            </w:r>
          </w:p>
        </w:tc>
      </w:tr>
      <w:tr w:rsidR="00734161" w14:paraId="2925F1EF" w14:textId="77777777" w:rsidTr="00734161">
        <w:trPr>
          <w:trHeight w:hRule="exact" w:val="1196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66DE149C" w14:textId="77777777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To increase student engagement</w:t>
            </w:r>
          </w:p>
          <w:p w14:paraId="2A7AEC11" w14:textId="77777777" w:rsidR="00734161" w:rsidRDefault="00734161" w:rsidP="00DE047A">
            <w:pPr>
              <w:spacing w:after="0"/>
              <w:rPr>
                <w:rFonts w:cs="Arial"/>
              </w:rPr>
            </w:pPr>
          </w:p>
          <w:p w14:paraId="65362F22" w14:textId="60DA1C42" w:rsidR="00734161" w:rsidRDefault="00734161" w:rsidP="00DE047A">
            <w:pPr>
              <w:spacing w:after="0"/>
              <w:rPr>
                <w:rFonts w:cs="Arial"/>
              </w:rPr>
            </w:pPr>
          </w:p>
        </w:tc>
        <w:tc>
          <w:tcPr>
            <w:tcW w:w="3714" w:type="dxa"/>
            <w:gridSpan w:val="2"/>
            <w:tcMar>
              <w:top w:w="57" w:type="dxa"/>
              <w:bottom w:w="57" w:type="dxa"/>
            </w:tcMar>
          </w:tcPr>
          <w:p w14:paraId="6ABB0EC7" w14:textId="70B06770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Student Leadership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2532E9EC" w14:textId="41CA6863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Impact low due to lockdown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D44BF5A" w14:textId="2D21065F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This will continue for this year</w:t>
            </w:r>
          </w:p>
        </w:tc>
      </w:tr>
      <w:tr w:rsidR="00734161" w14:paraId="4A376AAE" w14:textId="77777777" w:rsidTr="00734161">
        <w:trPr>
          <w:trHeight w:hRule="exact" w:val="3562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21EE8BE5" w14:textId="01557E35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To increase parental engagement</w:t>
            </w:r>
          </w:p>
        </w:tc>
        <w:tc>
          <w:tcPr>
            <w:tcW w:w="3714" w:type="dxa"/>
            <w:gridSpan w:val="2"/>
            <w:tcMar>
              <w:top w:w="57" w:type="dxa"/>
              <w:bottom w:w="57" w:type="dxa"/>
            </w:tcMar>
          </w:tcPr>
          <w:p w14:paraId="06126C19" w14:textId="77777777" w:rsidR="00734161" w:rsidRPr="00535D7D" w:rsidRDefault="00734161" w:rsidP="00535D7D">
            <w:pPr>
              <w:rPr>
                <w:sz w:val="20"/>
                <w:szCs w:val="20"/>
              </w:rPr>
            </w:pPr>
            <w:r w:rsidRPr="00535D7D">
              <w:rPr>
                <w:sz w:val="20"/>
                <w:szCs w:val="20"/>
              </w:rPr>
              <w:t xml:space="preserve">Parental engagement is improved with a view to raising the aspirations of disadvantaged pupils and increasing their enjoyment and engagement at school </w:t>
            </w:r>
          </w:p>
          <w:p w14:paraId="5525FF81" w14:textId="53480A88" w:rsidR="00734161" w:rsidRPr="00535D7D" w:rsidRDefault="00734161" w:rsidP="00535D7D">
            <w:pPr>
              <w:rPr>
                <w:sz w:val="20"/>
                <w:szCs w:val="20"/>
              </w:rPr>
            </w:pPr>
            <w:r w:rsidRPr="00535D7D">
              <w:rPr>
                <w:sz w:val="20"/>
                <w:szCs w:val="20"/>
              </w:rPr>
              <w:t xml:space="preserve">Increased parent attendance at parent’s evenings and other events designed to support learning. </w:t>
            </w:r>
          </w:p>
          <w:p w14:paraId="57799978" w14:textId="796DC0FB" w:rsidR="00734161" w:rsidRPr="00535D7D" w:rsidRDefault="00734161" w:rsidP="00535D7D">
            <w:r w:rsidRPr="00535D7D">
              <w:rPr>
                <w:sz w:val="20"/>
                <w:szCs w:val="20"/>
              </w:rPr>
              <w:t>Increased attendance at arranged meetings to discuss behaviour/attendance concerns.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6F018328" w14:textId="621CAB92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Impact low due to lockdown. 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8118B52" w14:textId="301B3FB9" w:rsidR="00734161" w:rsidRDefault="00734161" w:rsidP="00DE04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This will continue for this year</w:t>
            </w:r>
          </w:p>
        </w:tc>
      </w:tr>
    </w:tbl>
    <w:p w14:paraId="1E150FB1" w14:textId="77777777" w:rsidR="00992217" w:rsidRDefault="00992217" w:rsidP="00350930"/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992217" w:rsidRPr="009242F1" w14:paraId="4EAFE266" w14:textId="77777777" w:rsidTr="00DE047A">
        <w:tc>
          <w:tcPr>
            <w:tcW w:w="15559" w:type="dxa"/>
            <w:shd w:val="clear" w:color="auto" w:fill="CFDCE3"/>
            <w:tcMar>
              <w:top w:w="57" w:type="dxa"/>
              <w:bottom w:w="57" w:type="dxa"/>
            </w:tcMar>
          </w:tcPr>
          <w:p w14:paraId="62E03721" w14:textId="77777777" w:rsidR="00992217" w:rsidRPr="00766387" w:rsidRDefault="00992217" w:rsidP="0061753B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Additional detail</w:t>
            </w:r>
          </w:p>
        </w:tc>
      </w:tr>
      <w:tr w:rsidR="00992217" w:rsidRPr="009242F1" w14:paraId="65066517" w14:textId="77777777" w:rsidTr="00DE047A">
        <w:trPr>
          <w:trHeight w:val="1450"/>
        </w:trPr>
        <w:tc>
          <w:tcPr>
            <w:tcW w:w="15559" w:type="dxa"/>
            <w:shd w:val="clear" w:color="auto" w:fill="auto"/>
            <w:tcMar>
              <w:top w:w="57" w:type="dxa"/>
              <w:bottom w:w="57" w:type="dxa"/>
            </w:tcMar>
          </w:tcPr>
          <w:p w14:paraId="4C8D5518" w14:textId="77777777" w:rsidR="00992217" w:rsidRPr="00797116" w:rsidRDefault="00992217" w:rsidP="00DE047A">
            <w:pPr>
              <w:pStyle w:val="ListParagraph"/>
              <w:spacing w:after="0"/>
              <w:ind w:left="56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In this section you can annex</w:t>
            </w:r>
            <w:r w:rsidRPr="00797116">
              <w:rPr>
                <w:rFonts w:cs="Arial"/>
              </w:rPr>
              <w:t xml:space="preserve"> or refer to </w:t>
            </w:r>
            <w:r w:rsidRPr="000C4CF8">
              <w:rPr>
                <w:rFonts w:cs="Arial"/>
                <w:b/>
              </w:rPr>
              <w:t>additional</w:t>
            </w:r>
            <w:r w:rsidRPr="00797116">
              <w:rPr>
                <w:rFonts w:cs="Arial"/>
              </w:rPr>
              <w:t xml:space="preserve"> information </w:t>
            </w:r>
            <w:r>
              <w:rPr>
                <w:rFonts w:cs="Arial"/>
              </w:rPr>
              <w:t>which you have used to inform the statement above.</w:t>
            </w:r>
          </w:p>
        </w:tc>
      </w:tr>
    </w:tbl>
    <w:p w14:paraId="2FBF3365" w14:textId="6AFA4424" w:rsidR="00350930" w:rsidRDefault="00350930" w:rsidP="00350930">
      <w:r>
        <w:br w:type="page"/>
      </w:r>
    </w:p>
    <w:p w14:paraId="5F0A6FB8" w14:textId="77777777" w:rsidR="00350930" w:rsidRPr="00610E7C" w:rsidRDefault="00350930" w:rsidP="00350930">
      <w:pPr>
        <w:tabs>
          <w:tab w:val="left" w:pos="747"/>
        </w:tabs>
        <w:rPr>
          <w:rFonts w:eastAsia="Arial"/>
        </w:rPr>
        <w:sectPr w:rsidR="00350930" w:rsidRPr="00610E7C" w:rsidSect="00531CFD">
          <w:footerReference w:type="default" r:id="rId14"/>
          <w:headerReference w:type="first" r:id="rId15"/>
          <w:pgSz w:w="16840" w:h="11920" w:orient="landscape"/>
          <w:pgMar w:top="426" w:right="1038" w:bottom="284" w:left="958" w:header="0" w:footer="560" w:gutter="0"/>
          <w:cols w:space="720"/>
        </w:sectPr>
      </w:pPr>
    </w:p>
    <w:p w14:paraId="319A58C0" w14:textId="7ADB57B9" w:rsidR="009F41B6" w:rsidRPr="00610E7C" w:rsidRDefault="009F41B6" w:rsidP="00350930"/>
    <w:sectPr w:rsidR="009F41B6" w:rsidRPr="00610E7C" w:rsidSect="00350930">
      <w:headerReference w:type="even" r:id="rId16"/>
      <w:headerReference w:type="default" r:id="rId17"/>
      <w:footerReference w:type="default" r:id="rId18"/>
      <w:headerReference w:type="first" r:id="rId19"/>
      <w:pgSz w:w="16840" w:h="11920" w:orient="landscape"/>
      <w:pgMar w:top="426" w:right="1038" w:bottom="284" w:left="958" w:header="0" w:footer="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BC77" w14:textId="77777777" w:rsidR="00DD4788" w:rsidRDefault="00DD4788" w:rsidP="009F41B6">
      <w:r>
        <w:separator/>
      </w:r>
    </w:p>
    <w:p w14:paraId="4B9C01F6" w14:textId="77777777" w:rsidR="00DD4788" w:rsidRDefault="00DD4788" w:rsidP="009F41B6"/>
  </w:endnote>
  <w:endnote w:type="continuationSeparator" w:id="0">
    <w:p w14:paraId="296505F3" w14:textId="77777777" w:rsidR="00DD4788" w:rsidRDefault="00DD4788" w:rsidP="009F41B6">
      <w:r>
        <w:continuationSeparator/>
      </w:r>
    </w:p>
    <w:p w14:paraId="23A2059C" w14:textId="77777777" w:rsidR="00DD4788" w:rsidRDefault="00DD4788" w:rsidP="009F4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6EB97" w14:textId="77777777" w:rsidR="00350930" w:rsidRPr="00531CFD" w:rsidRDefault="00350930">
    <w:pPr>
      <w:spacing w:after="0" w:line="200" w:lineRule="exact"/>
      <w:rPr>
        <w:sz w:val="4"/>
        <w:szCs w:val="4"/>
      </w:rPr>
    </w:pPr>
    <w:r w:rsidRPr="00531CFD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2106100" wp14:editId="3965FE0A">
              <wp:simplePos x="0" y="0"/>
              <wp:positionH relativeFrom="page">
                <wp:posOffset>3649980</wp:posOffset>
              </wp:positionH>
              <wp:positionV relativeFrom="page">
                <wp:posOffset>10069830</wp:posOffset>
              </wp:positionV>
              <wp:extent cx="222250" cy="177800"/>
              <wp:effectExtent l="1905" t="1905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FB3BD" w14:textId="40011330" w:rsidR="00350930" w:rsidRDefault="00350930">
                          <w:pPr>
                            <w:spacing w:after="0" w:line="265" w:lineRule="exact"/>
                            <w:ind w:left="41" w:right="-20"/>
                            <w:rPr>
                              <w:rFonts w:eastAsia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eastAsia="Arial" w:cs="Arial"/>
                              <w:color w:val="0505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1FB5">
                            <w:rPr>
                              <w:rFonts w:eastAsia="Arial" w:cs="Arial"/>
                              <w:noProof/>
                              <w:color w:val="05050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061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4pt;margin-top:792.9pt;width:17.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z9rAIAAKg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" filled="f" stroked="f">
              <v:textbox inset="0,0,0,0">
                <w:txbxContent>
                  <w:p w14:paraId="1F4FB3BD" w14:textId="40011330" w:rsidR="00350930" w:rsidRDefault="00350930">
                    <w:pPr>
                      <w:spacing w:after="0" w:line="265" w:lineRule="exact"/>
                      <w:ind w:left="41" w:right="-20"/>
                      <w:rPr>
                        <w:rFonts w:eastAsia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eastAsia="Arial" w:cs="Arial"/>
                        <w:color w:val="0505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1FB5">
                      <w:rPr>
                        <w:rFonts w:eastAsia="Arial" w:cs="Arial"/>
                        <w:noProof/>
                        <w:color w:val="05050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916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15C55" w14:textId="33129CA1" w:rsidR="00703958" w:rsidRDefault="00703958" w:rsidP="00B929B0">
        <w:pPr>
          <w:pStyle w:val="Footer"/>
          <w:tabs>
            <w:tab w:val="clear" w:pos="4513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FB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B06B990" w14:textId="77777777" w:rsidR="00A777DA" w:rsidRDefault="00A777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C4D50" w14:textId="77777777" w:rsidR="00DD4788" w:rsidRDefault="00DD4788" w:rsidP="009F41B6">
      <w:r>
        <w:separator/>
      </w:r>
    </w:p>
    <w:p w14:paraId="32EEED0D" w14:textId="77777777" w:rsidR="00DD4788" w:rsidRDefault="00DD4788" w:rsidP="009F41B6"/>
  </w:footnote>
  <w:footnote w:type="continuationSeparator" w:id="0">
    <w:p w14:paraId="542B3BB6" w14:textId="77777777" w:rsidR="00DD4788" w:rsidRDefault="00DD4788" w:rsidP="009F41B6">
      <w:r>
        <w:continuationSeparator/>
      </w:r>
    </w:p>
    <w:p w14:paraId="199EA1FE" w14:textId="77777777" w:rsidR="00DD4788" w:rsidRDefault="00DD4788" w:rsidP="009F41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381D6" w14:textId="77777777" w:rsidR="00350930" w:rsidRDefault="00350930" w:rsidP="008327B8">
    <w:pPr>
      <w:pStyle w:val="Header"/>
      <w:jc w:val="center"/>
    </w:pPr>
    <w:r>
      <w:t>OFFICIAL - SENSITIVE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A77D9" w14:textId="52FCB09C" w:rsidR="00703958" w:rsidRDefault="00703958">
    <w:pPr>
      <w:pStyle w:val="Header"/>
    </w:pPr>
  </w:p>
  <w:p w14:paraId="2B8C5917" w14:textId="77777777" w:rsidR="00703958" w:rsidRDefault="00703958"/>
  <w:p w14:paraId="671C9ECB" w14:textId="77777777" w:rsidR="00A777DA" w:rsidRDefault="00A777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9D89" w14:textId="04EAD5FA" w:rsidR="00703958" w:rsidRPr="003F351B" w:rsidRDefault="00703958" w:rsidP="003F351B">
    <w:pPr>
      <w:pStyle w:val="Header"/>
    </w:pPr>
  </w:p>
  <w:p w14:paraId="1CDD0136" w14:textId="77777777" w:rsidR="00A777DA" w:rsidRDefault="00A777D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141D4" w14:textId="5131DDF1" w:rsidR="00703958" w:rsidRPr="003F351B" w:rsidRDefault="00703958" w:rsidP="003F3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4543F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082A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6785EA0"/>
    <w:multiLevelType w:val="hybridMultilevel"/>
    <w:tmpl w:val="BACE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5C"/>
    <w:multiLevelType w:val="hybridMultilevel"/>
    <w:tmpl w:val="AE50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1725C"/>
    <w:multiLevelType w:val="hybridMultilevel"/>
    <w:tmpl w:val="10D40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E10702"/>
    <w:multiLevelType w:val="hybridMultilevel"/>
    <w:tmpl w:val="F2C04958"/>
    <w:lvl w:ilvl="0" w:tplc="94F64BA8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34D36"/>
    <w:multiLevelType w:val="hybridMultilevel"/>
    <w:tmpl w:val="9462D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143C5"/>
    <w:multiLevelType w:val="hybridMultilevel"/>
    <w:tmpl w:val="2894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D6610BA"/>
    <w:multiLevelType w:val="hybridMultilevel"/>
    <w:tmpl w:val="A68CF1D0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1E8F10D2"/>
    <w:multiLevelType w:val="hybridMultilevel"/>
    <w:tmpl w:val="F45290B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215F6187"/>
    <w:multiLevelType w:val="hybridMultilevel"/>
    <w:tmpl w:val="6F58239A"/>
    <w:lvl w:ilvl="0" w:tplc="7730F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D01B3"/>
    <w:multiLevelType w:val="hybridMultilevel"/>
    <w:tmpl w:val="9BE4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12EC6"/>
    <w:multiLevelType w:val="hybridMultilevel"/>
    <w:tmpl w:val="6284F2D2"/>
    <w:lvl w:ilvl="0" w:tplc="E3667B8E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F0EE5"/>
    <w:multiLevelType w:val="hybridMultilevel"/>
    <w:tmpl w:val="25C4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E6516"/>
    <w:multiLevelType w:val="hybridMultilevel"/>
    <w:tmpl w:val="A6DA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4995D1E"/>
    <w:multiLevelType w:val="hybridMultilevel"/>
    <w:tmpl w:val="26C6011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463C31B1"/>
    <w:multiLevelType w:val="hybridMultilevel"/>
    <w:tmpl w:val="4348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4822122D"/>
    <w:multiLevelType w:val="hybridMultilevel"/>
    <w:tmpl w:val="03148D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A5D5F"/>
    <w:multiLevelType w:val="hybridMultilevel"/>
    <w:tmpl w:val="961A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E755E"/>
    <w:multiLevelType w:val="hybridMultilevel"/>
    <w:tmpl w:val="5492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93CFB"/>
    <w:multiLevelType w:val="hybridMultilevel"/>
    <w:tmpl w:val="380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17112"/>
    <w:multiLevelType w:val="hybridMultilevel"/>
    <w:tmpl w:val="0B18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54138"/>
    <w:multiLevelType w:val="hybridMultilevel"/>
    <w:tmpl w:val="6284F2D2"/>
    <w:lvl w:ilvl="0" w:tplc="E3667B8E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B10AF"/>
    <w:multiLevelType w:val="hybridMultilevel"/>
    <w:tmpl w:val="8F14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4548F6"/>
    <w:multiLevelType w:val="hybridMultilevel"/>
    <w:tmpl w:val="A560C57E"/>
    <w:lvl w:ilvl="0" w:tplc="76A872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B1C12"/>
    <w:multiLevelType w:val="hybridMultilevel"/>
    <w:tmpl w:val="1D7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B0A91"/>
    <w:multiLevelType w:val="hybridMultilevel"/>
    <w:tmpl w:val="37EA79CE"/>
    <w:lvl w:ilvl="0" w:tplc="28FC8E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16D76"/>
    <w:multiLevelType w:val="hybridMultilevel"/>
    <w:tmpl w:val="1072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A0324"/>
    <w:multiLevelType w:val="hybridMultilevel"/>
    <w:tmpl w:val="219819D2"/>
    <w:lvl w:ilvl="0" w:tplc="3FFCF09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19"/>
  </w:num>
  <w:num w:numId="8">
    <w:abstractNumId w:val="12"/>
  </w:num>
  <w:num w:numId="9">
    <w:abstractNumId w:val="24"/>
  </w:num>
  <w:num w:numId="10">
    <w:abstractNumId w:val="8"/>
  </w:num>
  <w:num w:numId="11">
    <w:abstractNumId w:val="32"/>
  </w:num>
  <w:num w:numId="12">
    <w:abstractNumId w:val="28"/>
  </w:num>
  <w:num w:numId="13">
    <w:abstractNumId w:val="3"/>
  </w:num>
  <w:num w:numId="14">
    <w:abstractNumId w:val="4"/>
  </w:num>
  <w:num w:numId="15">
    <w:abstractNumId w:val="27"/>
  </w:num>
  <w:num w:numId="16">
    <w:abstractNumId w:val="11"/>
  </w:num>
  <w:num w:numId="17">
    <w:abstractNumId w:val="36"/>
  </w:num>
  <w:num w:numId="18">
    <w:abstractNumId w:val="20"/>
  </w:num>
  <w:num w:numId="19">
    <w:abstractNumId w:val="25"/>
  </w:num>
  <w:num w:numId="20">
    <w:abstractNumId w:val="18"/>
  </w:num>
  <w:num w:numId="21">
    <w:abstractNumId w:val="38"/>
  </w:num>
  <w:num w:numId="22">
    <w:abstractNumId w:val="16"/>
  </w:num>
  <w:num w:numId="23">
    <w:abstractNumId w:val="13"/>
  </w:num>
  <w:num w:numId="24">
    <w:abstractNumId w:val="22"/>
  </w:num>
  <w:num w:numId="25">
    <w:abstractNumId w:val="30"/>
  </w:num>
  <w:num w:numId="26">
    <w:abstractNumId w:val="7"/>
  </w:num>
  <w:num w:numId="27">
    <w:abstractNumId w:val="40"/>
  </w:num>
  <w:num w:numId="28">
    <w:abstractNumId w:val="21"/>
  </w:num>
  <w:num w:numId="29">
    <w:abstractNumId w:val="34"/>
  </w:num>
  <w:num w:numId="30">
    <w:abstractNumId w:val="29"/>
  </w:num>
  <w:num w:numId="31">
    <w:abstractNumId w:val="26"/>
  </w:num>
  <w:num w:numId="32">
    <w:abstractNumId w:val="14"/>
  </w:num>
  <w:num w:numId="33">
    <w:abstractNumId w:val="37"/>
  </w:num>
  <w:num w:numId="34">
    <w:abstractNumId w:val="35"/>
  </w:num>
  <w:num w:numId="35">
    <w:abstractNumId w:val="15"/>
  </w:num>
  <w:num w:numId="36">
    <w:abstractNumId w:val="17"/>
  </w:num>
  <w:num w:numId="37">
    <w:abstractNumId w:val="10"/>
  </w:num>
  <w:num w:numId="38">
    <w:abstractNumId w:val="23"/>
  </w:num>
  <w:num w:numId="39">
    <w:abstractNumId w:val="31"/>
  </w:num>
  <w:num w:numId="40">
    <w:abstractNumId w:val="39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F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NotTrackFormatting/>
  <w:defaultTabStop w:val="720"/>
  <w:noPunctuationKerning/>
  <w:characterSpacingControl w:val="doNotCompress"/>
  <w:hdrShapeDefaults>
    <o:shapedefaults v:ext="edit" spidmax="204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3A"/>
    <w:rsid w:val="00000CCE"/>
    <w:rsid w:val="000026A6"/>
    <w:rsid w:val="00011A88"/>
    <w:rsid w:val="00013A6E"/>
    <w:rsid w:val="000162C6"/>
    <w:rsid w:val="0002203B"/>
    <w:rsid w:val="00023913"/>
    <w:rsid w:val="000240E2"/>
    <w:rsid w:val="00024EA2"/>
    <w:rsid w:val="00030ABD"/>
    <w:rsid w:val="00031F36"/>
    <w:rsid w:val="00036EE2"/>
    <w:rsid w:val="000442BD"/>
    <w:rsid w:val="00051E2E"/>
    <w:rsid w:val="00053503"/>
    <w:rsid w:val="00057100"/>
    <w:rsid w:val="00060EBF"/>
    <w:rsid w:val="00066B1C"/>
    <w:rsid w:val="0007258F"/>
    <w:rsid w:val="00074179"/>
    <w:rsid w:val="00074641"/>
    <w:rsid w:val="000769DE"/>
    <w:rsid w:val="00081EE7"/>
    <w:rsid w:val="00083A73"/>
    <w:rsid w:val="00086722"/>
    <w:rsid w:val="00095901"/>
    <w:rsid w:val="000A10F4"/>
    <w:rsid w:val="000A4B41"/>
    <w:rsid w:val="000B3DE0"/>
    <w:rsid w:val="000B4A3E"/>
    <w:rsid w:val="000C503E"/>
    <w:rsid w:val="000C6B02"/>
    <w:rsid w:val="000C7733"/>
    <w:rsid w:val="000D1D30"/>
    <w:rsid w:val="000D32F1"/>
    <w:rsid w:val="000D4433"/>
    <w:rsid w:val="000D5697"/>
    <w:rsid w:val="000E3350"/>
    <w:rsid w:val="000E46AE"/>
    <w:rsid w:val="000F1A98"/>
    <w:rsid w:val="000F22D0"/>
    <w:rsid w:val="000F73F3"/>
    <w:rsid w:val="00103E77"/>
    <w:rsid w:val="00113E8C"/>
    <w:rsid w:val="0011494F"/>
    <w:rsid w:val="00121C6C"/>
    <w:rsid w:val="001232CE"/>
    <w:rsid w:val="0012742C"/>
    <w:rsid w:val="001321D2"/>
    <w:rsid w:val="00133075"/>
    <w:rsid w:val="00144268"/>
    <w:rsid w:val="00147214"/>
    <w:rsid w:val="00152A3A"/>
    <w:rsid w:val="001540AB"/>
    <w:rsid w:val="00155ECC"/>
    <w:rsid w:val="001615DF"/>
    <w:rsid w:val="00161A13"/>
    <w:rsid w:val="0017051C"/>
    <w:rsid w:val="00171F6B"/>
    <w:rsid w:val="00174104"/>
    <w:rsid w:val="001747E2"/>
    <w:rsid w:val="00176EB9"/>
    <w:rsid w:val="001811F8"/>
    <w:rsid w:val="00183D0C"/>
    <w:rsid w:val="00190C3A"/>
    <w:rsid w:val="00196306"/>
    <w:rsid w:val="001A0936"/>
    <w:rsid w:val="001A3A04"/>
    <w:rsid w:val="001B2AE2"/>
    <w:rsid w:val="001B4452"/>
    <w:rsid w:val="001B5C15"/>
    <w:rsid w:val="001B796F"/>
    <w:rsid w:val="001C4E9C"/>
    <w:rsid w:val="001C55FC"/>
    <w:rsid w:val="001C5A63"/>
    <w:rsid w:val="001C5EB6"/>
    <w:rsid w:val="001C7959"/>
    <w:rsid w:val="001D09EC"/>
    <w:rsid w:val="001D42A6"/>
    <w:rsid w:val="001D569D"/>
    <w:rsid w:val="001D5770"/>
    <w:rsid w:val="001E3581"/>
    <w:rsid w:val="001E6CDB"/>
    <w:rsid w:val="001F257C"/>
    <w:rsid w:val="001F428D"/>
    <w:rsid w:val="00201BEA"/>
    <w:rsid w:val="00203ACA"/>
    <w:rsid w:val="00203EC9"/>
    <w:rsid w:val="002042CF"/>
    <w:rsid w:val="00207CF2"/>
    <w:rsid w:val="00210E6D"/>
    <w:rsid w:val="002113CF"/>
    <w:rsid w:val="00212E0B"/>
    <w:rsid w:val="00214378"/>
    <w:rsid w:val="00214713"/>
    <w:rsid w:val="002216C5"/>
    <w:rsid w:val="0022255C"/>
    <w:rsid w:val="0022489D"/>
    <w:rsid w:val="002262F3"/>
    <w:rsid w:val="00230559"/>
    <w:rsid w:val="0023095D"/>
    <w:rsid w:val="002332F8"/>
    <w:rsid w:val="00234F75"/>
    <w:rsid w:val="00237C3C"/>
    <w:rsid w:val="00237F6B"/>
    <w:rsid w:val="002406E2"/>
    <w:rsid w:val="00240F4B"/>
    <w:rsid w:val="002575C5"/>
    <w:rsid w:val="002624F5"/>
    <w:rsid w:val="002634E2"/>
    <w:rsid w:val="002708E4"/>
    <w:rsid w:val="0027230F"/>
    <w:rsid w:val="0027252F"/>
    <w:rsid w:val="00273718"/>
    <w:rsid w:val="002839B5"/>
    <w:rsid w:val="00283D8B"/>
    <w:rsid w:val="00287788"/>
    <w:rsid w:val="00291E8A"/>
    <w:rsid w:val="00292DED"/>
    <w:rsid w:val="002A1D3B"/>
    <w:rsid w:val="002A28F7"/>
    <w:rsid w:val="002A3153"/>
    <w:rsid w:val="002B0709"/>
    <w:rsid w:val="002B2775"/>
    <w:rsid w:val="002B37EB"/>
    <w:rsid w:val="002C3AA4"/>
    <w:rsid w:val="002D1911"/>
    <w:rsid w:val="002D3B79"/>
    <w:rsid w:val="002D44A8"/>
    <w:rsid w:val="002D4B69"/>
    <w:rsid w:val="002E463F"/>
    <w:rsid w:val="002E4E9A"/>
    <w:rsid w:val="002E508B"/>
    <w:rsid w:val="002E5F9F"/>
    <w:rsid w:val="002E7368"/>
    <w:rsid w:val="002E7849"/>
    <w:rsid w:val="002F15EE"/>
    <w:rsid w:val="002F6A4F"/>
    <w:rsid w:val="002F7128"/>
    <w:rsid w:val="00300F99"/>
    <w:rsid w:val="0030310D"/>
    <w:rsid w:val="003036A2"/>
    <w:rsid w:val="00306BA2"/>
    <w:rsid w:val="003154AC"/>
    <w:rsid w:val="00316DD9"/>
    <w:rsid w:val="00323776"/>
    <w:rsid w:val="00325D84"/>
    <w:rsid w:val="00326C32"/>
    <w:rsid w:val="00330FDB"/>
    <w:rsid w:val="00333B04"/>
    <w:rsid w:val="003370A4"/>
    <w:rsid w:val="0034071F"/>
    <w:rsid w:val="003409F2"/>
    <w:rsid w:val="0034222D"/>
    <w:rsid w:val="00343EFD"/>
    <w:rsid w:val="00347C36"/>
    <w:rsid w:val="00350930"/>
    <w:rsid w:val="00361752"/>
    <w:rsid w:val="00361FE6"/>
    <w:rsid w:val="00364F65"/>
    <w:rsid w:val="00374981"/>
    <w:rsid w:val="0037557E"/>
    <w:rsid w:val="003810D8"/>
    <w:rsid w:val="003817C5"/>
    <w:rsid w:val="003853A4"/>
    <w:rsid w:val="00390B80"/>
    <w:rsid w:val="003A01C4"/>
    <w:rsid w:val="003A1CC2"/>
    <w:rsid w:val="003C0411"/>
    <w:rsid w:val="003C1ECF"/>
    <w:rsid w:val="003C60B5"/>
    <w:rsid w:val="003D1EFE"/>
    <w:rsid w:val="003D764C"/>
    <w:rsid w:val="003E129B"/>
    <w:rsid w:val="003E1329"/>
    <w:rsid w:val="003E4B03"/>
    <w:rsid w:val="003E59EE"/>
    <w:rsid w:val="003F28B3"/>
    <w:rsid w:val="003F351B"/>
    <w:rsid w:val="003F63E0"/>
    <w:rsid w:val="003F751E"/>
    <w:rsid w:val="003F7BDE"/>
    <w:rsid w:val="00407032"/>
    <w:rsid w:val="004158B0"/>
    <w:rsid w:val="00416220"/>
    <w:rsid w:val="00421F3D"/>
    <w:rsid w:val="004242C5"/>
    <w:rsid w:val="00427E7A"/>
    <w:rsid w:val="00430BEF"/>
    <w:rsid w:val="0043261E"/>
    <w:rsid w:val="004339FB"/>
    <w:rsid w:val="00436A77"/>
    <w:rsid w:val="0043760C"/>
    <w:rsid w:val="00442364"/>
    <w:rsid w:val="00445E79"/>
    <w:rsid w:val="004509BE"/>
    <w:rsid w:val="00451FA7"/>
    <w:rsid w:val="004572EE"/>
    <w:rsid w:val="00460C98"/>
    <w:rsid w:val="004668E1"/>
    <w:rsid w:val="004671CA"/>
    <w:rsid w:val="00467BC5"/>
    <w:rsid w:val="00470223"/>
    <w:rsid w:val="00471FEE"/>
    <w:rsid w:val="004726CF"/>
    <w:rsid w:val="00475109"/>
    <w:rsid w:val="00482BF2"/>
    <w:rsid w:val="004866AD"/>
    <w:rsid w:val="004977DF"/>
    <w:rsid w:val="00497D2D"/>
    <w:rsid w:val="004A0192"/>
    <w:rsid w:val="004A25DF"/>
    <w:rsid w:val="004B0132"/>
    <w:rsid w:val="004B19E5"/>
    <w:rsid w:val="004B4394"/>
    <w:rsid w:val="004B6B92"/>
    <w:rsid w:val="004C1DC7"/>
    <w:rsid w:val="004D0B5A"/>
    <w:rsid w:val="004D13A3"/>
    <w:rsid w:val="004D4F4A"/>
    <w:rsid w:val="004E0F5B"/>
    <w:rsid w:val="004E6CD9"/>
    <w:rsid w:val="004F00ED"/>
    <w:rsid w:val="004F19D4"/>
    <w:rsid w:val="004F20E3"/>
    <w:rsid w:val="004F211A"/>
    <w:rsid w:val="004F3159"/>
    <w:rsid w:val="004F4AEF"/>
    <w:rsid w:val="004F6FFA"/>
    <w:rsid w:val="004F70A9"/>
    <w:rsid w:val="00500764"/>
    <w:rsid w:val="00503147"/>
    <w:rsid w:val="00505A57"/>
    <w:rsid w:val="0050779E"/>
    <w:rsid w:val="00507870"/>
    <w:rsid w:val="00516E4A"/>
    <w:rsid w:val="00520E92"/>
    <w:rsid w:val="0052566B"/>
    <w:rsid w:val="0052767D"/>
    <w:rsid w:val="00531CFD"/>
    <w:rsid w:val="00535D7D"/>
    <w:rsid w:val="00536E0B"/>
    <w:rsid w:val="00550E2B"/>
    <w:rsid w:val="005535E5"/>
    <w:rsid w:val="00553E4E"/>
    <w:rsid w:val="005552BF"/>
    <w:rsid w:val="00560451"/>
    <w:rsid w:val="00562261"/>
    <w:rsid w:val="0056283E"/>
    <w:rsid w:val="00565A60"/>
    <w:rsid w:val="00566C31"/>
    <w:rsid w:val="0057250B"/>
    <w:rsid w:val="00572C72"/>
    <w:rsid w:val="00573780"/>
    <w:rsid w:val="00574294"/>
    <w:rsid w:val="005749C5"/>
    <w:rsid w:val="0057670A"/>
    <w:rsid w:val="00577486"/>
    <w:rsid w:val="00581D79"/>
    <w:rsid w:val="00585490"/>
    <w:rsid w:val="00585A2C"/>
    <w:rsid w:val="005905B1"/>
    <w:rsid w:val="005914F1"/>
    <w:rsid w:val="0059494A"/>
    <w:rsid w:val="005A07FF"/>
    <w:rsid w:val="005A4AE2"/>
    <w:rsid w:val="005A65F5"/>
    <w:rsid w:val="005A67AA"/>
    <w:rsid w:val="005A6DE5"/>
    <w:rsid w:val="005A71BA"/>
    <w:rsid w:val="005A7C7F"/>
    <w:rsid w:val="005A7D82"/>
    <w:rsid w:val="005B1536"/>
    <w:rsid w:val="005B2FD4"/>
    <w:rsid w:val="005C0A99"/>
    <w:rsid w:val="005C0B41"/>
    <w:rsid w:val="005C1447"/>
    <w:rsid w:val="005C14AE"/>
    <w:rsid w:val="005C1770"/>
    <w:rsid w:val="005C2466"/>
    <w:rsid w:val="005C3645"/>
    <w:rsid w:val="005C6416"/>
    <w:rsid w:val="005C657D"/>
    <w:rsid w:val="005C6635"/>
    <w:rsid w:val="005D05CE"/>
    <w:rsid w:val="005D252F"/>
    <w:rsid w:val="005D380A"/>
    <w:rsid w:val="005D3D25"/>
    <w:rsid w:val="005E3379"/>
    <w:rsid w:val="005E70E7"/>
    <w:rsid w:val="005F107C"/>
    <w:rsid w:val="005F226C"/>
    <w:rsid w:val="005F7472"/>
    <w:rsid w:val="005F7DBE"/>
    <w:rsid w:val="00602008"/>
    <w:rsid w:val="0060702F"/>
    <w:rsid w:val="006108B3"/>
    <w:rsid w:val="00610E7C"/>
    <w:rsid w:val="00611F91"/>
    <w:rsid w:val="006155C4"/>
    <w:rsid w:val="0061753B"/>
    <w:rsid w:val="006237FB"/>
    <w:rsid w:val="0062454F"/>
    <w:rsid w:val="006248B1"/>
    <w:rsid w:val="00626DD2"/>
    <w:rsid w:val="00633E4E"/>
    <w:rsid w:val="00635D57"/>
    <w:rsid w:val="006418B2"/>
    <w:rsid w:val="00641FB5"/>
    <w:rsid w:val="00642026"/>
    <w:rsid w:val="00642404"/>
    <w:rsid w:val="006429B3"/>
    <w:rsid w:val="006431E0"/>
    <w:rsid w:val="00647EFA"/>
    <w:rsid w:val="00650573"/>
    <w:rsid w:val="00650A8D"/>
    <w:rsid w:val="00652973"/>
    <w:rsid w:val="006558CA"/>
    <w:rsid w:val="00657E79"/>
    <w:rsid w:val="006606F5"/>
    <w:rsid w:val="006606F9"/>
    <w:rsid w:val="00663EF5"/>
    <w:rsid w:val="0067185E"/>
    <w:rsid w:val="00671B64"/>
    <w:rsid w:val="00671D5B"/>
    <w:rsid w:val="00671FA2"/>
    <w:rsid w:val="006775FA"/>
    <w:rsid w:val="006814D7"/>
    <w:rsid w:val="0068544D"/>
    <w:rsid w:val="006935BB"/>
    <w:rsid w:val="0069409E"/>
    <w:rsid w:val="00695D08"/>
    <w:rsid w:val="00695EA0"/>
    <w:rsid w:val="006A0234"/>
    <w:rsid w:val="006A2784"/>
    <w:rsid w:val="006A27AA"/>
    <w:rsid w:val="006A3602"/>
    <w:rsid w:val="006B1F9F"/>
    <w:rsid w:val="006C382D"/>
    <w:rsid w:val="006D1162"/>
    <w:rsid w:val="006D67EB"/>
    <w:rsid w:val="006E22B1"/>
    <w:rsid w:val="006E6E83"/>
    <w:rsid w:val="006E7F39"/>
    <w:rsid w:val="006F1F96"/>
    <w:rsid w:val="006F6DC9"/>
    <w:rsid w:val="00700337"/>
    <w:rsid w:val="00700B01"/>
    <w:rsid w:val="007022F7"/>
    <w:rsid w:val="00702EBF"/>
    <w:rsid w:val="00703958"/>
    <w:rsid w:val="00706166"/>
    <w:rsid w:val="00713414"/>
    <w:rsid w:val="0071604F"/>
    <w:rsid w:val="00730350"/>
    <w:rsid w:val="00730EF3"/>
    <w:rsid w:val="00734161"/>
    <w:rsid w:val="0073516C"/>
    <w:rsid w:val="007403F5"/>
    <w:rsid w:val="007426B3"/>
    <w:rsid w:val="007428C7"/>
    <w:rsid w:val="0074314F"/>
    <w:rsid w:val="00743353"/>
    <w:rsid w:val="00745C9F"/>
    <w:rsid w:val="00746697"/>
    <w:rsid w:val="00747CD7"/>
    <w:rsid w:val="0075096B"/>
    <w:rsid w:val="00751648"/>
    <w:rsid w:val="00756321"/>
    <w:rsid w:val="00760615"/>
    <w:rsid w:val="0076231A"/>
    <w:rsid w:val="00764D03"/>
    <w:rsid w:val="00765E95"/>
    <w:rsid w:val="00766306"/>
    <w:rsid w:val="00774F55"/>
    <w:rsid w:val="00775D8A"/>
    <w:rsid w:val="0077659E"/>
    <w:rsid w:val="00777AD4"/>
    <w:rsid w:val="00780950"/>
    <w:rsid w:val="007809EF"/>
    <w:rsid w:val="007830F9"/>
    <w:rsid w:val="00783210"/>
    <w:rsid w:val="00783D2C"/>
    <w:rsid w:val="00791410"/>
    <w:rsid w:val="00794F29"/>
    <w:rsid w:val="00796607"/>
    <w:rsid w:val="007A0750"/>
    <w:rsid w:val="007A2250"/>
    <w:rsid w:val="007A5759"/>
    <w:rsid w:val="007B3CFE"/>
    <w:rsid w:val="007C321D"/>
    <w:rsid w:val="007C41A5"/>
    <w:rsid w:val="007C4B2B"/>
    <w:rsid w:val="007C58BE"/>
    <w:rsid w:val="007C7EEE"/>
    <w:rsid w:val="007D0537"/>
    <w:rsid w:val="007D080B"/>
    <w:rsid w:val="007D100D"/>
    <w:rsid w:val="007D1348"/>
    <w:rsid w:val="007D29D3"/>
    <w:rsid w:val="007E06DD"/>
    <w:rsid w:val="007E35BC"/>
    <w:rsid w:val="007F1ACB"/>
    <w:rsid w:val="007F4221"/>
    <w:rsid w:val="007F670A"/>
    <w:rsid w:val="007F7235"/>
    <w:rsid w:val="00800DEB"/>
    <w:rsid w:val="00803C83"/>
    <w:rsid w:val="00813B3D"/>
    <w:rsid w:val="00814458"/>
    <w:rsid w:val="00814D1A"/>
    <w:rsid w:val="008168A2"/>
    <w:rsid w:val="00816E77"/>
    <w:rsid w:val="00821CD3"/>
    <w:rsid w:val="00823AE8"/>
    <w:rsid w:val="00824E92"/>
    <w:rsid w:val="00827FF1"/>
    <w:rsid w:val="00831263"/>
    <w:rsid w:val="00831DB7"/>
    <w:rsid w:val="008327B8"/>
    <w:rsid w:val="00832EBF"/>
    <w:rsid w:val="0083302E"/>
    <w:rsid w:val="008348A3"/>
    <w:rsid w:val="00834ED6"/>
    <w:rsid w:val="008366CB"/>
    <w:rsid w:val="00837F3A"/>
    <w:rsid w:val="008419B8"/>
    <w:rsid w:val="0084240F"/>
    <w:rsid w:val="00845567"/>
    <w:rsid w:val="00847309"/>
    <w:rsid w:val="008515CE"/>
    <w:rsid w:val="008620F3"/>
    <w:rsid w:val="00863986"/>
    <w:rsid w:val="00866257"/>
    <w:rsid w:val="00873A68"/>
    <w:rsid w:val="00874F24"/>
    <w:rsid w:val="00876230"/>
    <w:rsid w:val="008768A8"/>
    <w:rsid w:val="00877D5B"/>
    <w:rsid w:val="00877ECD"/>
    <w:rsid w:val="00886B1E"/>
    <w:rsid w:val="0089094C"/>
    <w:rsid w:val="00891CD2"/>
    <w:rsid w:val="00894E46"/>
    <w:rsid w:val="008A4181"/>
    <w:rsid w:val="008A460D"/>
    <w:rsid w:val="008A4CD5"/>
    <w:rsid w:val="008A588F"/>
    <w:rsid w:val="008A644A"/>
    <w:rsid w:val="008B05BD"/>
    <w:rsid w:val="008B0C03"/>
    <w:rsid w:val="008B0DD1"/>
    <w:rsid w:val="008B1297"/>
    <w:rsid w:val="008B250D"/>
    <w:rsid w:val="008B427B"/>
    <w:rsid w:val="008B6009"/>
    <w:rsid w:val="008B66CA"/>
    <w:rsid w:val="008C3B85"/>
    <w:rsid w:val="008C46DC"/>
    <w:rsid w:val="008D0B4C"/>
    <w:rsid w:val="008D15AA"/>
    <w:rsid w:val="008D5E6B"/>
    <w:rsid w:val="008D6968"/>
    <w:rsid w:val="008E3B15"/>
    <w:rsid w:val="008E3F07"/>
    <w:rsid w:val="008E413A"/>
    <w:rsid w:val="008E4B40"/>
    <w:rsid w:val="008E5F36"/>
    <w:rsid w:val="008E63EA"/>
    <w:rsid w:val="008E77AA"/>
    <w:rsid w:val="008F2757"/>
    <w:rsid w:val="008F2E4F"/>
    <w:rsid w:val="008F6CA2"/>
    <w:rsid w:val="008F6F8B"/>
    <w:rsid w:val="008F7436"/>
    <w:rsid w:val="00900479"/>
    <w:rsid w:val="00903E42"/>
    <w:rsid w:val="00904AC4"/>
    <w:rsid w:val="0090521B"/>
    <w:rsid w:val="009055E4"/>
    <w:rsid w:val="0091025E"/>
    <w:rsid w:val="00915D44"/>
    <w:rsid w:val="00917E9C"/>
    <w:rsid w:val="00922AF8"/>
    <w:rsid w:val="0092379D"/>
    <w:rsid w:val="00924E3D"/>
    <w:rsid w:val="00925160"/>
    <w:rsid w:val="0092542E"/>
    <w:rsid w:val="00936100"/>
    <w:rsid w:val="00947CF2"/>
    <w:rsid w:val="00950F88"/>
    <w:rsid w:val="00951C56"/>
    <w:rsid w:val="00955907"/>
    <w:rsid w:val="0095599F"/>
    <w:rsid w:val="00956CF7"/>
    <w:rsid w:val="00957542"/>
    <w:rsid w:val="00961817"/>
    <w:rsid w:val="0096424B"/>
    <w:rsid w:val="009662D0"/>
    <w:rsid w:val="009716FA"/>
    <w:rsid w:val="00972D1B"/>
    <w:rsid w:val="00982C55"/>
    <w:rsid w:val="00983DB9"/>
    <w:rsid w:val="00984AA8"/>
    <w:rsid w:val="00984FA5"/>
    <w:rsid w:val="00985088"/>
    <w:rsid w:val="00985495"/>
    <w:rsid w:val="0098648B"/>
    <w:rsid w:val="00992217"/>
    <w:rsid w:val="009A244C"/>
    <w:rsid w:val="009A602D"/>
    <w:rsid w:val="009A7402"/>
    <w:rsid w:val="009B0DAA"/>
    <w:rsid w:val="009B32FA"/>
    <w:rsid w:val="009B45C4"/>
    <w:rsid w:val="009C13DC"/>
    <w:rsid w:val="009C1908"/>
    <w:rsid w:val="009C73CF"/>
    <w:rsid w:val="009C7FB2"/>
    <w:rsid w:val="009D1AF5"/>
    <w:rsid w:val="009D244B"/>
    <w:rsid w:val="009E00AE"/>
    <w:rsid w:val="009E09C7"/>
    <w:rsid w:val="009E09D3"/>
    <w:rsid w:val="009E1D00"/>
    <w:rsid w:val="009E6E74"/>
    <w:rsid w:val="009F3E29"/>
    <w:rsid w:val="009F41B6"/>
    <w:rsid w:val="009F49D4"/>
    <w:rsid w:val="009F4A2B"/>
    <w:rsid w:val="009F53ED"/>
    <w:rsid w:val="00A038BE"/>
    <w:rsid w:val="00A03960"/>
    <w:rsid w:val="00A0665A"/>
    <w:rsid w:val="00A15FD8"/>
    <w:rsid w:val="00A30BA1"/>
    <w:rsid w:val="00A3636B"/>
    <w:rsid w:val="00A37DEE"/>
    <w:rsid w:val="00A42FDD"/>
    <w:rsid w:val="00A433C3"/>
    <w:rsid w:val="00A46575"/>
    <w:rsid w:val="00A50806"/>
    <w:rsid w:val="00A54BB7"/>
    <w:rsid w:val="00A5643A"/>
    <w:rsid w:val="00A5723C"/>
    <w:rsid w:val="00A60232"/>
    <w:rsid w:val="00A60D43"/>
    <w:rsid w:val="00A66499"/>
    <w:rsid w:val="00A677F9"/>
    <w:rsid w:val="00A67B3E"/>
    <w:rsid w:val="00A707A4"/>
    <w:rsid w:val="00A7274B"/>
    <w:rsid w:val="00A73FB8"/>
    <w:rsid w:val="00A763CB"/>
    <w:rsid w:val="00A772FF"/>
    <w:rsid w:val="00A777DA"/>
    <w:rsid w:val="00A801D1"/>
    <w:rsid w:val="00A81F69"/>
    <w:rsid w:val="00A84C17"/>
    <w:rsid w:val="00A86089"/>
    <w:rsid w:val="00A91CB0"/>
    <w:rsid w:val="00A93FC0"/>
    <w:rsid w:val="00A95D3F"/>
    <w:rsid w:val="00AA000B"/>
    <w:rsid w:val="00AA2822"/>
    <w:rsid w:val="00AA3484"/>
    <w:rsid w:val="00AA7E7B"/>
    <w:rsid w:val="00AB1AF9"/>
    <w:rsid w:val="00AB3B48"/>
    <w:rsid w:val="00AB5287"/>
    <w:rsid w:val="00AB6D0F"/>
    <w:rsid w:val="00AB7858"/>
    <w:rsid w:val="00AC4931"/>
    <w:rsid w:val="00AC61A6"/>
    <w:rsid w:val="00AD01F4"/>
    <w:rsid w:val="00AD1C4B"/>
    <w:rsid w:val="00AD1DD2"/>
    <w:rsid w:val="00AD2062"/>
    <w:rsid w:val="00AD2F1D"/>
    <w:rsid w:val="00AD6CF9"/>
    <w:rsid w:val="00AE1E46"/>
    <w:rsid w:val="00AE5177"/>
    <w:rsid w:val="00AF0989"/>
    <w:rsid w:val="00AF28C7"/>
    <w:rsid w:val="00AF785C"/>
    <w:rsid w:val="00B05DDC"/>
    <w:rsid w:val="00B1029F"/>
    <w:rsid w:val="00B120FB"/>
    <w:rsid w:val="00B26579"/>
    <w:rsid w:val="00B3498C"/>
    <w:rsid w:val="00B34F49"/>
    <w:rsid w:val="00B35EEF"/>
    <w:rsid w:val="00B37CB2"/>
    <w:rsid w:val="00B40979"/>
    <w:rsid w:val="00B4154D"/>
    <w:rsid w:val="00B43CAD"/>
    <w:rsid w:val="00B51536"/>
    <w:rsid w:val="00B55A49"/>
    <w:rsid w:val="00B56ACC"/>
    <w:rsid w:val="00B6101B"/>
    <w:rsid w:val="00B61038"/>
    <w:rsid w:val="00B64265"/>
    <w:rsid w:val="00B64618"/>
    <w:rsid w:val="00B6712A"/>
    <w:rsid w:val="00B67F76"/>
    <w:rsid w:val="00B70EFF"/>
    <w:rsid w:val="00B7558C"/>
    <w:rsid w:val="00B845DA"/>
    <w:rsid w:val="00B85794"/>
    <w:rsid w:val="00B9194F"/>
    <w:rsid w:val="00B929B0"/>
    <w:rsid w:val="00BA003B"/>
    <w:rsid w:val="00BA2625"/>
    <w:rsid w:val="00BB05E2"/>
    <w:rsid w:val="00BB7C04"/>
    <w:rsid w:val="00BC054B"/>
    <w:rsid w:val="00BD1111"/>
    <w:rsid w:val="00BD26B6"/>
    <w:rsid w:val="00BD4A45"/>
    <w:rsid w:val="00BD7DF4"/>
    <w:rsid w:val="00BE0133"/>
    <w:rsid w:val="00BE01C6"/>
    <w:rsid w:val="00BE07AA"/>
    <w:rsid w:val="00BE22B3"/>
    <w:rsid w:val="00BE4DAC"/>
    <w:rsid w:val="00BF13F8"/>
    <w:rsid w:val="00BF68F1"/>
    <w:rsid w:val="00C01CFF"/>
    <w:rsid w:val="00C02406"/>
    <w:rsid w:val="00C02C7D"/>
    <w:rsid w:val="00C073B9"/>
    <w:rsid w:val="00C07E21"/>
    <w:rsid w:val="00C1494D"/>
    <w:rsid w:val="00C15B78"/>
    <w:rsid w:val="00C2207B"/>
    <w:rsid w:val="00C247F5"/>
    <w:rsid w:val="00C30479"/>
    <w:rsid w:val="00C46129"/>
    <w:rsid w:val="00C529E8"/>
    <w:rsid w:val="00C6013F"/>
    <w:rsid w:val="00C63537"/>
    <w:rsid w:val="00C660D4"/>
    <w:rsid w:val="00C66273"/>
    <w:rsid w:val="00C6636B"/>
    <w:rsid w:val="00C71561"/>
    <w:rsid w:val="00C71E70"/>
    <w:rsid w:val="00C75A77"/>
    <w:rsid w:val="00C8124F"/>
    <w:rsid w:val="00C81513"/>
    <w:rsid w:val="00C838AF"/>
    <w:rsid w:val="00C84637"/>
    <w:rsid w:val="00C8519F"/>
    <w:rsid w:val="00C851D5"/>
    <w:rsid w:val="00C9157E"/>
    <w:rsid w:val="00C92AD3"/>
    <w:rsid w:val="00C92ED5"/>
    <w:rsid w:val="00C93184"/>
    <w:rsid w:val="00C93999"/>
    <w:rsid w:val="00CA1009"/>
    <w:rsid w:val="00CA278F"/>
    <w:rsid w:val="00CA30B4"/>
    <w:rsid w:val="00CA4180"/>
    <w:rsid w:val="00CA716C"/>
    <w:rsid w:val="00CA72FC"/>
    <w:rsid w:val="00CB56F5"/>
    <w:rsid w:val="00CB58E8"/>
    <w:rsid w:val="00CB6E04"/>
    <w:rsid w:val="00CC2512"/>
    <w:rsid w:val="00CC4C58"/>
    <w:rsid w:val="00CC547F"/>
    <w:rsid w:val="00CD0909"/>
    <w:rsid w:val="00CD5D21"/>
    <w:rsid w:val="00CE0E9F"/>
    <w:rsid w:val="00CE40D7"/>
    <w:rsid w:val="00CE5F52"/>
    <w:rsid w:val="00CE7906"/>
    <w:rsid w:val="00CF0E19"/>
    <w:rsid w:val="00D01EE5"/>
    <w:rsid w:val="00D02CE4"/>
    <w:rsid w:val="00D04B89"/>
    <w:rsid w:val="00D05342"/>
    <w:rsid w:val="00D10355"/>
    <w:rsid w:val="00D21B4A"/>
    <w:rsid w:val="00D23D3C"/>
    <w:rsid w:val="00D265AE"/>
    <w:rsid w:val="00D27D9B"/>
    <w:rsid w:val="00D30402"/>
    <w:rsid w:val="00D30CF1"/>
    <w:rsid w:val="00D376DB"/>
    <w:rsid w:val="00D40DE9"/>
    <w:rsid w:val="00D41212"/>
    <w:rsid w:val="00D4259A"/>
    <w:rsid w:val="00D42B45"/>
    <w:rsid w:val="00D50ED4"/>
    <w:rsid w:val="00D54C67"/>
    <w:rsid w:val="00D54F53"/>
    <w:rsid w:val="00D55BDC"/>
    <w:rsid w:val="00D57563"/>
    <w:rsid w:val="00D57CFC"/>
    <w:rsid w:val="00D641F2"/>
    <w:rsid w:val="00D64A19"/>
    <w:rsid w:val="00D660A1"/>
    <w:rsid w:val="00D66FFC"/>
    <w:rsid w:val="00D70729"/>
    <w:rsid w:val="00D71D4B"/>
    <w:rsid w:val="00D71F30"/>
    <w:rsid w:val="00D7239F"/>
    <w:rsid w:val="00D736C0"/>
    <w:rsid w:val="00D74921"/>
    <w:rsid w:val="00D92274"/>
    <w:rsid w:val="00D94339"/>
    <w:rsid w:val="00D9707F"/>
    <w:rsid w:val="00DA165A"/>
    <w:rsid w:val="00DA1F8E"/>
    <w:rsid w:val="00DA57A4"/>
    <w:rsid w:val="00DB0D07"/>
    <w:rsid w:val="00DB0ED9"/>
    <w:rsid w:val="00DC1D74"/>
    <w:rsid w:val="00DC39E8"/>
    <w:rsid w:val="00DC4922"/>
    <w:rsid w:val="00DC4950"/>
    <w:rsid w:val="00DC585C"/>
    <w:rsid w:val="00DD3A4E"/>
    <w:rsid w:val="00DD4788"/>
    <w:rsid w:val="00DD51B7"/>
    <w:rsid w:val="00DD699B"/>
    <w:rsid w:val="00DD788A"/>
    <w:rsid w:val="00DE2205"/>
    <w:rsid w:val="00DE3B89"/>
    <w:rsid w:val="00DE6998"/>
    <w:rsid w:val="00DF0054"/>
    <w:rsid w:val="00DF00D5"/>
    <w:rsid w:val="00DF3309"/>
    <w:rsid w:val="00DF5124"/>
    <w:rsid w:val="00DF5709"/>
    <w:rsid w:val="00DF7F39"/>
    <w:rsid w:val="00E026F9"/>
    <w:rsid w:val="00E035B8"/>
    <w:rsid w:val="00E1702C"/>
    <w:rsid w:val="00E17C6D"/>
    <w:rsid w:val="00E20C79"/>
    <w:rsid w:val="00E2257D"/>
    <w:rsid w:val="00E22EE8"/>
    <w:rsid w:val="00E23ABB"/>
    <w:rsid w:val="00E23E99"/>
    <w:rsid w:val="00E307E5"/>
    <w:rsid w:val="00E3093A"/>
    <w:rsid w:val="00E33078"/>
    <w:rsid w:val="00E335AB"/>
    <w:rsid w:val="00E33AB6"/>
    <w:rsid w:val="00E3530B"/>
    <w:rsid w:val="00E35C31"/>
    <w:rsid w:val="00E4012C"/>
    <w:rsid w:val="00E4093D"/>
    <w:rsid w:val="00E41485"/>
    <w:rsid w:val="00E42A8F"/>
    <w:rsid w:val="00E43FBC"/>
    <w:rsid w:val="00E44E2C"/>
    <w:rsid w:val="00E473CE"/>
    <w:rsid w:val="00E50127"/>
    <w:rsid w:val="00E50AA2"/>
    <w:rsid w:val="00E5223F"/>
    <w:rsid w:val="00E52366"/>
    <w:rsid w:val="00E538B7"/>
    <w:rsid w:val="00E61359"/>
    <w:rsid w:val="00E6185D"/>
    <w:rsid w:val="00E6571E"/>
    <w:rsid w:val="00E66B4F"/>
    <w:rsid w:val="00E67B8E"/>
    <w:rsid w:val="00E70FC4"/>
    <w:rsid w:val="00E72112"/>
    <w:rsid w:val="00E741D5"/>
    <w:rsid w:val="00E74474"/>
    <w:rsid w:val="00E752F8"/>
    <w:rsid w:val="00E81060"/>
    <w:rsid w:val="00E83C17"/>
    <w:rsid w:val="00E87A6A"/>
    <w:rsid w:val="00E9232A"/>
    <w:rsid w:val="00E92A89"/>
    <w:rsid w:val="00EA18E7"/>
    <w:rsid w:val="00EA4174"/>
    <w:rsid w:val="00EA4D1B"/>
    <w:rsid w:val="00EA7EF1"/>
    <w:rsid w:val="00EB1D11"/>
    <w:rsid w:val="00EB281B"/>
    <w:rsid w:val="00EB79FF"/>
    <w:rsid w:val="00EC1C50"/>
    <w:rsid w:val="00ED121A"/>
    <w:rsid w:val="00ED3D05"/>
    <w:rsid w:val="00ED5025"/>
    <w:rsid w:val="00EE072C"/>
    <w:rsid w:val="00EE1C85"/>
    <w:rsid w:val="00EE5713"/>
    <w:rsid w:val="00EE64AE"/>
    <w:rsid w:val="00EE715F"/>
    <w:rsid w:val="00EF0C6F"/>
    <w:rsid w:val="00EF7E61"/>
    <w:rsid w:val="00F06445"/>
    <w:rsid w:val="00F06863"/>
    <w:rsid w:val="00F07114"/>
    <w:rsid w:val="00F127CF"/>
    <w:rsid w:val="00F206A7"/>
    <w:rsid w:val="00F3105E"/>
    <w:rsid w:val="00F3168F"/>
    <w:rsid w:val="00F31AAB"/>
    <w:rsid w:val="00F31B8F"/>
    <w:rsid w:val="00F35ED5"/>
    <w:rsid w:val="00F41591"/>
    <w:rsid w:val="00F41A63"/>
    <w:rsid w:val="00F45BEB"/>
    <w:rsid w:val="00F54523"/>
    <w:rsid w:val="00F5702C"/>
    <w:rsid w:val="00F626AA"/>
    <w:rsid w:val="00F70793"/>
    <w:rsid w:val="00F75F88"/>
    <w:rsid w:val="00F76BB2"/>
    <w:rsid w:val="00F84544"/>
    <w:rsid w:val="00F84C99"/>
    <w:rsid w:val="00F87538"/>
    <w:rsid w:val="00F9048D"/>
    <w:rsid w:val="00F90552"/>
    <w:rsid w:val="00F908B7"/>
    <w:rsid w:val="00F9465A"/>
    <w:rsid w:val="00F954FA"/>
    <w:rsid w:val="00F95B1F"/>
    <w:rsid w:val="00F96EB7"/>
    <w:rsid w:val="00FA05B2"/>
    <w:rsid w:val="00FA0889"/>
    <w:rsid w:val="00FA68A7"/>
    <w:rsid w:val="00FB090F"/>
    <w:rsid w:val="00FB0F42"/>
    <w:rsid w:val="00FB1DD9"/>
    <w:rsid w:val="00FB54CC"/>
    <w:rsid w:val="00FB7601"/>
    <w:rsid w:val="00FC0C51"/>
    <w:rsid w:val="00FC3903"/>
    <w:rsid w:val="00FC6848"/>
    <w:rsid w:val="00FC7C4F"/>
    <w:rsid w:val="00FD2228"/>
    <w:rsid w:val="00FD64FC"/>
    <w:rsid w:val="00FE1B88"/>
    <w:rsid w:val="00FE6DB7"/>
    <w:rsid w:val="00FF137D"/>
    <w:rsid w:val="00FF23F8"/>
    <w:rsid w:val="00FF2D9E"/>
    <w:rsid w:val="00FF4AC8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E60741D"/>
  <w15:docId w15:val="{FADD6B4F-7AAB-4F31-97E8-FDF6BFF7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9E1D00"/>
    <w:pPr>
      <w:spacing w:after="240" w:line="288" w:lineRule="auto"/>
    </w:pPr>
    <w:rPr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1B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760615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F70793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C71E70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41B6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760615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F707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unhideWhenUsed/>
    <w:rsid w:val="00D05342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rsid w:val="002634E2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2634E2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E50AA2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E50AA2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984AA8"/>
    <w:pPr>
      <w:numPr>
        <w:numId w:val="4"/>
      </w:numPr>
      <w:ind w:left="714" w:hanging="35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07E21"/>
    <w:pPr>
      <w:tabs>
        <w:tab w:val="right" w:pos="9498"/>
      </w:tabs>
      <w:spacing w:after="120"/>
    </w:pPr>
    <w:rPr>
      <w:rFonts w:eastAsia="Arial"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2A89"/>
    <w:pPr>
      <w:tabs>
        <w:tab w:val="right" w:pos="9498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11F91"/>
    <w:pPr>
      <w:tabs>
        <w:tab w:val="right" w:pos="9498"/>
      </w:tabs>
      <w:spacing w:after="120"/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90521B"/>
  </w:style>
  <w:style w:type="character" w:customStyle="1" w:styleId="CopyrightBoxChar">
    <w:name w:val="CopyrightBox Char"/>
    <w:link w:val="CopyrightBox"/>
    <w:rsid w:val="0090521B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2566B"/>
    <w:pPr>
      <w:spacing w:before="6000" w:after="120"/>
    </w:pPr>
  </w:style>
  <w:style w:type="character" w:customStyle="1" w:styleId="CopyrightSpacingChar">
    <w:name w:val="CopyrightSpacing Char"/>
    <w:link w:val="CopyrightSpacing"/>
    <w:rsid w:val="0052566B"/>
    <w:rPr>
      <w:sz w:val="24"/>
      <w:szCs w:val="24"/>
    </w:rPr>
  </w:style>
  <w:style w:type="paragraph" w:styleId="Title">
    <w:name w:val="Title"/>
    <w:basedOn w:val="Normal"/>
    <w:next w:val="Normal"/>
    <w:link w:val="TitleChar"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A25DF"/>
    <w:pPr>
      <w:spacing w:after="120"/>
    </w:pPr>
  </w:style>
  <w:style w:type="paragraph" w:styleId="ListBullet4">
    <w:name w:val="List Bullet 4"/>
    <w:basedOn w:val="Normal"/>
    <w:rsid w:val="00E50AA2"/>
    <w:pPr>
      <w:numPr>
        <w:numId w:val="3"/>
      </w:numPr>
      <w:contextualSpacing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984AA8"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qFormat/>
    <w:rsid w:val="00D21B4A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C71E70"/>
    <w:rPr>
      <w:b/>
      <w:bCs/>
      <w:color w:val="104F75"/>
      <w:sz w:val="24"/>
      <w:szCs w:val="28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color w:val="0D0D0D" w:themeColor="text1" w:themeTint="F2"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color w:val="0D0D0D" w:themeColor="text1" w:themeTint="F2"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color w:val="0D0D0D" w:themeColor="text1" w:themeTint="F2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color w:val="0D0D0D" w:themeColor="text1" w:themeTint="F2"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color w:val="0D0D0D" w:themeColor="text1" w:themeTint="F2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qFormat/>
    <w:rsid w:val="001321D2"/>
    <w:pPr>
      <w:spacing w:before="60" w:after="60"/>
      <w:ind w:left="57" w:right="57"/>
      <w:jc w:val="center"/>
    </w:pPr>
    <w:rPr>
      <w:b/>
      <w:color w:val="0D0D0D" w:themeColor="text1" w:themeTint="F2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customStyle="1" w:styleId="TableRow">
    <w:name w:val="TableRow"/>
    <w:link w:val="TableRowChar"/>
    <w:qFormat/>
    <w:rsid w:val="001321D2"/>
    <w:pPr>
      <w:spacing w:before="60" w:after="60"/>
      <w:ind w:left="57" w:right="57"/>
    </w:pPr>
    <w:rPr>
      <w:color w:val="0D0D0D" w:themeColor="text1" w:themeTint="F2"/>
      <w:sz w:val="24"/>
      <w:szCs w:val="24"/>
    </w:rPr>
  </w:style>
  <w:style w:type="character" w:customStyle="1" w:styleId="TableRowChar">
    <w:name w:val="TableRow Char"/>
    <w:link w:val="TableRow"/>
    <w:rsid w:val="001321D2"/>
    <w:rPr>
      <w:color w:val="0D0D0D" w:themeColor="text1" w:themeTint="F2"/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F1ACB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ACB"/>
  </w:style>
  <w:style w:type="character" w:styleId="FootnoteReference">
    <w:name w:val="footnote reference"/>
    <w:basedOn w:val="DefaultParagraphFont"/>
    <w:uiPriority w:val="99"/>
    <w:semiHidden/>
    <w:unhideWhenUsed/>
    <w:rsid w:val="007E06DD"/>
    <w:rPr>
      <w:vertAlign w:val="superscript"/>
    </w:rPr>
  </w:style>
  <w:style w:type="character" w:customStyle="1" w:styleId="RGB">
    <w:name w:val="RGB"/>
    <w:basedOn w:val="DefaultParagraphFont"/>
    <w:rsid w:val="00956CF7"/>
    <w:rPr>
      <w:b/>
      <w:bCs/>
      <w:sz w:val="20"/>
    </w:rPr>
  </w:style>
  <w:style w:type="paragraph" w:customStyle="1" w:styleId="ColouredBoxHeadline">
    <w:name w:val="Coloured Box Headline"/>
    <w:basedOn w:val="Normal"/>
    <w:rsid w:val="00956CF7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956CF7"/>
    <w:rPr>
      <w:sz w:val="20"/>
    </w:rPr>
  </w:style>
  <w:style w:type="paragraph" w:styleId="ListBullet5">
    <w:name w:val="List Bullet 5"/>
    <w:basedOn w:val="Normal"/>
    <w:rsid w:val="00E50AA2"/>
  </w:style>
  <w:style w:type="character" w:styleId="CommentReference">
    <w:name w:val="annotation reference"/>
    <w:basedOn w:val="DefaultParagraphFont"/>
    <w:uiPriority w:val="99"/>
    <w:unhideWhenUsed/>
    <w:rsid w:val="0090521B"/>
  </w:style>
  <w:style w:type="paragraph" w:styleId="CommentText">
    <w:name w:val="annotation text"/>
    <w:basedOn w:val="Normal"/>
    <w:link w:val="CommentTextChar"/>
    <w:uiPriority w:val="99"/>
    <w:unhideWhenUsed/>
    <w:rsid w:val="00FC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848"/>
    <w:rPr>
      <w:b/>
      <w:bCs/>
    </w:rPr>
  </w:style>
  <w:style w:type="paragraph" w:customStyle="1" w:styleId="Centredembed">
    <w:name w:val="Centred embed"/>
    <w:basedOn w:val="Normal"/>
    <w:rsid w:val="00626DD2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sid w:val="00E50AA2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E50AA2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43261E"/>
  </w:style>
  <w:style w:type="paragraph" w:customStyle="1" w:styleId="Source">
    <w:name w:val="Source"/>
    <w:basedOn w:val="Normal"/>
    <w:link w:val="SourceChar"/>
    <w:qFormat/>
    <w:rsid w:val="0043261E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qFormat/>
    <w:rsid w:val="007A0750"/>
    <w:pPr>
      <w:numPr>
        <w:numId w:val="2"/>
      </w:numPr>
    </w:pPr>
  </w:style>
  <w:style w:type="character" w:customStyle="1" w:styleId="DfESOutNumbered1Char">
    <w:name w:val="DfESOutNumbered1 Char"/>
    <w:link w:val="DfESOutNumbered1"/>
    <w:rsid w:val="007A0750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766306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66306"/>
    <w:pPr>
      <w:jc w:val="center"/>
    </w:pPr>
    <w:rPr>
      <w:szCs w:val="20"/>
    </w:rPr>
  </w:style>
  <w:style w:type="paragraph" w:customStyle="1" w:styleId="SocialMedia">
    <w:name w:val="SocialMedia"/>
    <w:basedOn w:val="Normal"/>
    <w:link w:val="SocialMediaChar"/>
    <w:rsid w:val="00AE5177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7D29D3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AE5177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095901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7D29D3"/>
    <w:rPr>
      <w:color w:val="0D0D0D" w:themeColor="text1" w:themeTint="F2"/>
      <w:sz w:val="24"/>
      <w:szCs w:val="24"/>
    </w:rPr>
  </w:style>
  <w:style w:type="paragraph" w:customStyle="1" w:styleId="LicenceIntro">
    <w:name w:val="LicenceIntro"/>
    <w:basedOn w:val="Licence"/>
    <w:rsid w:val="00113E8C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095901"/>
    <w:rPr>
      <w:sz w:val="24"/>
      <w:szCs w:val="24"/>
    </w:rPr>
  </w:style>
  <w:style w:type="paragraph" w:styleId="ListBullet2">
    <w:name w:val="List Bullet 2"/>
    <w:basedOn w:val="Normal"/>
    <w:rsid w:val="00984AA8"/>
    <w:pPr>
      <w:numPr>
        <w:numId w:val="5"/>
      </w:numPr>
      <w:tabs>
        <w:tab w:val="clear" w:pos="643"/>
        <w:tab w:val="num" w:pos="1134"/>
      </w:tabs>
      <w:ind w:left="1134"/>
      <w:contextualSpacing/>
    </w:pPr>
  </w:style>
  <w:style w:type="paragraph" w:customStyle="1" w:styleId="Logos">
    <w:name w:val="Logos"/>
    <w:basedOn w:val="Normal"/>
    <w:link w:val="LogosChar"/>
    <w:rsid w:val="002B2775"/>
    <w:pPr>
      <w:pageBreakBefore/>
      <w:widowControl w:val="0"/>
    </w:pPr>
    <w:rPr>
      <w:noProof/>
    </w:rPr>
  </w:style>
  <w:style w:type="character" w:customStyle="1" w:styleId="LogosChar">
    <w:name w:val="Logos Char"/>
    <w:basedOn w:val="DefaultParagraphFont"/>
    <w:link w:val="Logos"/>
    <w:rsid w:val="002B2775"/>
    <w:rPr>
      <w:noProof/>
      <w:color w:val="0D0D0D" w:themeColor="text1" w:themeTint="F2"/>
      <w:sz w:val="24"/>
      <w:szCs w:val="24"/>
    </w:rPr>
  </w:style>
  <w:style w:type="paragraph" w:styleId="ListBullet3">
    <w:name w:val="List Bullet 3"/>
    <w:basedOn w:val="Normal"/>
    <w:rsid w:val="00984AA8"/>
    <w:pPr>
      <w:numPr>
        <w:numId w:val="6"/>
      </w:numPr>
      <w:contextualSpacing/>
    </w:pPr>
  </w:style>
  <w:style w:type="paragraph" w:customStyle="1" w:styleId="DfESOutNumbered">
    <w:name w:val="DfESOutNumbered"/>
    <w:basedOn w:val="Normal"/>
    <w:link w:val="DfESOutNumberedChar"/>
    <w:rsid w:val="00562261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link w:val="DfESOutNumbered"/>
    <w:rsid w:val="00562261"/>
    <w:rPr>
      <w:rFonts w:cs="Arial"/>
      <w:noProof/>
      <w:color w:val="0D0D0D" w:themeColor="text1" w:themeTint="F2"/>
      <w:sz w:val="22"/>
      <w:szCs w:val="24"/>
      <w:lang w:eastAsia="en-US"/>
    </w:rPr>
  </w:style>
  <w:style w:type="paragraph" w:customStyle="1" w:styleId="DeptBullets">
    <w:name w:val="DeptBullets"/>
    <w:basedOn w:val="Normal"/>
    <w:link w:val="DeptBulletsChar"/>
    <w:rsid w:val="00562261"/>
    <w:pPr>
      <w:widowControl w:val="0"/>
      <w:numPr>
        <w:numId w:val="9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link w:val="DeptBullets"/>
    <w:rsid w:val="00562261"/>
    <w:rPr>
      <w:noProof/>
      <w:color w:val="0D0D0D" w:themeColor="text1" w:themeTint="F2"/>
      <w:sz w:val="24"/>
      <w:szCs w:val="24"/>
      <w:lang w:eastAsia="en-US"/>
    </w:rPr>
  </w:style>
  <w:style w:type="paragraph" w:customStyle="1" w:styleId="TOCHeader">
    <w:name w:val="TOC Header"/>
    <w:link w:val="TOCHeaderChar"/>
    <w:unhideWhenUsed/>
    <w:rsid w:val="00AB1AF9"/>
    <w:pPr>
      <w:pageBreakBefore/>
    </w:pPr>
    <w:rPr>
      <w:b/>
      <w:color w:val="104F75"/>
      <w:sz w:val="36"/>
      <w:szCs w:val="24"/>
    </w:rPr>
  </w:style>
  <w:style w:type="character" w:customStyle="1" w:styleId="TOCHeaderChar">
    <w:name w:val="TOC Header Char"/>
    <w:link w:val="TOCHeader"/>
    <w:rsid w:val="00AB1AF9"/>
    <w:rPr>
      <w:b/>
      <w:color w:val="104F75"/>
      <w:sz w:val="36"/>
      <w:szCs w:val="24"/>
    </w:rPr>
  </w:style>
  <w:style w:type="paragraph" w:customStyle="1" w:styleId="role">
    <w:name w:val="role"/>
    <w:basedOn w:val="Normal"/>
    <w:rsid w:val="0091025E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val="en-US" w:eastAsia="en-US"/>
    </w:rPr>
  </w:style>
  <w:style w:type="paragraph" w:customStyle="1" w:styleId="Default">
    <w:name w:val="Default"/>
    <w:rsid w:val="0091025E"/>
    <w:pPr>
      <w:autoSpaceDE w:val="0"/>
      <w:autoSpaceDN w:val="0"/>
      <w:adjustRightInd w:val="0"/>
    </w:pPr>
    <w:rPr>
      <w:rFonts w:ascii="Webdings" w:eastAsiaTheme="minorHAnsi" w:hAnsi="Webdings" w:cs="Webdings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91025E"/>
    <w:rPr>
      <w:color w:val="0D0D0D" w:themeColor="text1" w:themeTint="F2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6579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paragraph" w:customStyle="1" w:styleId="Body">
    <w:name w:val="Body"/>
    <w:rsid w:val="004671CA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</w:pPr>
    <w:rPr>
      <w:rFonts w:eastAsia="Arial" w:cs="Arial"/>
      <w:color w:val="0D0D0D"/>
      <w:sz w:val="24"/>
      <w:szCs w:val="24"/>
      <w:u w:color="0D0D0D"/>
      <w:bdr w:val="nil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509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2</Value>
      <Value>56</Value>
      <Value>55</Value>
    </TaxCatchAll>
    <Comments xmlns="http://schemas.microsoft.com/sharepoint/v3" xsi:nil="true"/>
    <_dlc_DocId xmlns="b8cb3cbd-ce5c-4a72-9da4-9013f91c5903">P77SHHUCCQFT-1656113854-17248</_dlc_DocId>
    <_dlc_DocIdUrl xmlns="b8cb3cbd-ce5c-4a72-9da4-9013f91c5903">
      <Url>http://workplaces/sites/ctg/a/_layouts/DocIdRedir.aspx?ID=P77SHHUCCQFT-1656113854-17248</Url>
      <Description>P77SHHUCCQFT-1656113854-17248</Description>
    </_dlc_DocIdUrl>
    <IWPSiteTypeTaxHTField0 xmlns="62bda6d9-15dd-4797-9609-2d5e8913862c">
      <Terms xmlns="http://schemas.microsoft.com/office/infopath/2007/PartnerControls"/>
    </IWPSiteTypeTaxHTField0>
    <IWPRightsProtectiveMarking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62bda6d9-15dd-4797-9609-2d5e8913862c">
      <Terms xmlns="http://schemas.microsoft.com/office/infopath/2007/PartnerControls"/>
    </IWPFunctionTaxHTField0>
    <IWPOwner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62bda6d9-15dd-4797-9609-2d5e8913862c">
      <UserInfo>
        <DisplayName/>
        <AccountId xsi:nil="true"/>
        <AccountType/>
      </UserInfo>
    </IWPContributor>
    <IWPSubjectTaxHTField0 xmlns="62bda6d9-15dd-4797-9609-2d5e8913862c">
      <Terms xmlns="http://schemas.microsoft.com/office/infopath/2007/PartnerControls"/>
    </IWPSubjectTaxHTField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90692E784D5B8245A9BCC793BA2EE1C9" ma:contentTypeVersion="10" ma:contentTypeDescription="For programme or project documents. Records retained for 10 years." ma:contentTypeScope="" ma:versionID="25b390480ba9fc538a6abf1ca94928d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62bda6d9-15dd-4797-9609-2d5e8913862c" targetNamespace="http://schemas.microsoft.com/office/2006/metadata/properties" ma:root="true" ma:fieldsID="dacc55a7f74bdc6c1f257a4871db7b1d" ns1:_="" ns2:_="" ns3:_="">
    <xsd:import namespace="http://schemas.microsoft.com/sharepoint/v3"/>
    <xsd:import namespace="b8cb3cbd-ce5c-4a72-9da4-9013f91c5903"/>
    <xsd:import namespace="62bda6d9-15dd-4797-9609-2d5e8913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cca09a-3a7e-4e23-b5a4-ee8d77d3e53d}" ma:internalName="TaxCatchAll" ma:showField="CatchAllData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cca09a-3a7e-4e23-b5a4-ee8d77d3e53d}" ma:internalName="TaxCatchAllLabel" ma:readOnly="true" ma:showField="CatchAllDataLabel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6d9-15dd-4797-9609-2d5e8913862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8DC76-7C79-4AFF-948F-E6DD10D26A0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ED194C2-E8ED-4E08-9972-82678721CC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b8cb3cbd-ce5c-4a72-9da4-9013f91c5903"/>
    <ds:schemaRef ds:uri="http://schemas.microsoft.com/sharepoint/v3"/>
    <ds:schemaRef ds:uri="62bda6d9-15dd-4797-9609-2d5e8913862c"/>
  </ds:schemaRefs>
</ds:datastoreItem>
</file>

<file path=customXml/itemProps4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D004A7-DA13-4287-B433-28DBC6891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62bda6d9-15dd-4797-9609-2d5e8913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2A2BF9FB-EA70-4CF4-B2BE-283F2C58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</vt:lpstr>
    </vt:vector>
  </TitlesOfParts>
  <Company>Department for Education</Company>
  <LinksUpToDate>false</LinksUpToDate>
  <CharactersWithSpaces>17909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</dc:title>
  <dc:creator>Publishing.TEAM@education.gsi.gov.uk</dc:creator>
  <dc:description>Master-ET-v3.5</dc:description>
  <cp:lastModifiedBy>adm</cp:lastModifiedBy>
  <cp:revision>2</cp:revision>
  <cp:lastPrinted>2016-08-10T08:26:00Z</cp:lastPrinted>
  <dcterms:created xsi:type="dcterms:W3CDTF">2020-12-01T12:30:00Z</dcterms:created>
  <dcterms:modified xsi:type="dcterms:W3CDTF">2020-12-01T12:30:00Z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0x0101007F645D6FBA204A029FECB8BFC6578C39005279853530254253B886E13194843F8A003AA4A7828D8545A79A935680158123500090692E784D5B8245A9BCC793BA2EE1C9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883a7b46-cb55-417b-9f91-92c86f7101db</vt:lpwstr>
  </property>
  <property fmtid="{D5CDD505-2E9C-101B-9397-08002B2CF9AE}" pid="6" name="IWPOrganisationalUnit">
    <vt:lpwstr>56;#NCTL|50b03fc4-9596-44c0-8ddf-78c55856c7ae</vt:lpwstr>
  </property>
  <property fmtid="{D5CDD505-2E9C-101B-9397-08002B2CF9AE}" pid="7" name="IWPOwner">
    <vt:lpwstr>55;#NCTA|8a55f59b-7d94-44dd-a344-986d47acf947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</Properties>
</file>