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32" w:rsidRDefault="00861D32" w:rsidP="00805F20">
      <w:pPr>
        <w:jc w:val="center"/>
        <w:rPr>
          <w:rFonts w:ascii="Palatino Linotype" w:hAnsi="Palatino Linotype"/>
          <w:sz w:val="24"/>
          <w:u w:val="single"/>
        </w:rPr>
      </w:pPr>
      <w:r>
        <w:rPr>
          <w:rFonts w:ascii="Palatino Linotype" w:hAnsi="Palatino Linotype"/>
          <w:noProof/>
          <w:sz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1913255</wp:posOffset>
            </wp:positionH>
            <wp:positionV relativeFrom="paragraph">
              <wp:posOffset>-12065</wp:posOffset>
            </wp:positionV>
            <wp:extent cx="1845276" cy="84331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ghgate-logo-768x3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276" cy="84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D32" w:rsidRDefault="00861D32" w:rsidP="00805F20">
      <w:pPr>
        <w:jc w:val="center"/>
        <w:rPr>
          <w:rFonts w:ascii="Palatino Linotype" w:hAnsi="Palatino Linotype"/>
          <w:sz w:val="24"/>
          <w:u w:val="single"/>
        </w:rPr>
      </w:pPr>
    </w:p>
    <w:p w:rsidR="00B96C7C" w:rsidRDefault="00B96C7C" w:rsidP="00805F20">
      <w:pPr>
        <w:jc w:val="center"/>
        <w:rPr>
          <w:rFonts w:ascii="Palatino Linotype" w:hAnsi="Palatino Linotype"/>
          <w:sz w:val="24"/>
          <w:u w:val="single"/>
        </w:rPr>
      </w:pPr>
    </w:p>
    <w:p w:rsidR="00423183" w:rsidRPr="009F5352" w:rsidRDefault="00DA516D" w:rsidP="00805F20">
      <w:pPr>
        <w:jc w:val="center"/>
        <w:rPr>
          <w:rFonts w:ascii="Palatino Linotype" w:hAnsi="Palatino Linotype"/>
          <w:sz w:val="32"/>
          <w:u w:val="single"/>
        </w:rPr>
      </w:pPr>
      <w:r w:rsidRPr="009F5352">
        <w:rPr>
          <w:rFonts w:ascii="Palatino Linotype" w:hAnsi="Palatino Linotype"/>
          <w:sz w:val="32"/>
          <w:u w:val="single"/>
        </w:rPr>
        <w:t>Science at Highgate</w:t>
      </w:r>
    </w:p>
    <w:p w:rsidR="00297DCE" w:rsidRPr="00DA516D" w:rsidRDefault="00297DCE">
      <w:pPr>
        <w:rPr>
          <w:rFonts w:ascii="Palatino Linotype" w:hAnsi="Palatino Linotype"/>
          <w:sz w:val="8"/>
        </w:rPr>
      </w:pPr>
    </w:p>
    <w:p w:rsidR="00297DCE" w:rsidRPr="00DA516D" w:rsidRDefault="00297DCE">
      <w:pPr>
        <w:rPr>
          <w:rFonts w:ascii="Palatino Linotype" w:hAnsi="Palatino Linotype"/>
          <w:sz w:val="24"/>
        </w:rPr>
      </w:pPr>
      <w:r w:rsidRPr="00DA516D">
        <w:rPr>
          <w:rFonts w:ascii="Palatino Linotype" w:hAnsi="Palatino Linotype"/>
          <w:sz w:val="24"/>
        </w:rPr>
        <w:t>At Highgate Primary Academy, a high-quality science education provides the foundations for understanding the world through the disciplines of biology, chemistry and physics. Through carefully planned progression of learning, building upon previous learning and knowledge</w:t>
      </w:r>
      <w:r w:rsidR="0077668A" w:rsidRPr="00DA516D">
        <w:rPr>
          <w:rFonts w:ascii="Palatino Linotype" w:hAnsi="Palatino Linotype"/>
          <w:sz w:val="24"/>
        </w:rPr>
        <w:t xml:space="preserve"> so as to build over the years</w:t>
      </w:r>
      <w:r w:rsidRPr="00DA516D">
        <w:rPr>
          <w:rFonts w:ascii="Palatino Linotype" w:hAnsi="Palatino Linotype"/>
          <w:sz w:val="24"/>
        </w:rPr>
        <w:t>, children are encouraged to</w:t>
      </w:r>
      <w:r w:rsidR="0077668A" w:rsidRPr="00DA516D">
        <w:rPr>
          <w:rFonts w:ascii="Palatino Linotype" w:hAnsi="Palatino Linotype"/>
          <w:sz w:val="24"/>
        </w:rPr>
        <w:t>:</w:t>
      </w:r>
    </w:p>
    <w:p w:rsidR="0077668A" w:rsidRPr="00DA516D" w:rsidRDefault="0077668A" w:rsidP="0077668A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</w:rPr>
      </w:pPr>
      <w:r w:rsidRPr="00DA516D">
        <w:rPr>
          <w:rFonts w:ascii="Palatino Linotype" w:hAnsi="Palatino Linotype"/>
          <w:sz w:val="24"/>
        </w:rPr>
        <w:t>Develop scientific knowledge and conceptual understanding</w:t>
      </w:r>
    </w:p>
    <w:p w:rsidR="0077668A" w:rsidRPr="00DA516D" w:rsidRDefault="0077668A" w:rsidP="0077668A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</w:rPr>
      </w:pPr>
      <w:r w:rsidRPr="00DA516D">
        <w:rPr>
          <w:rFonts w:ascii="Palatino Linotype" w:hAnsi="Palatino Linotype"/>
          <w:sz w:val="24"/>
        </w:rPr>
        <w:t xml:space="preserve">Explain </w:t>
      </w:r>
      <w:r w:rsidR="0060371B" w:rsidRPr="00DA516D">
        <w:rPr>
          <w:rFonts w:ascii="Palatino Linotype" w:hAnsi="Palatino Linotype"/>
          <w:sz w:val="24"/>
        </w:rPr>
        <w:t>that knowledge using</w:t>
      </w:r>
      <w:r w:rsidRPr="00DA516D">
        <w:rPr>
          <w:rFonts w:ascii="Palatino Linotype" w:hAnsi="Palatino Linotype"/>
          <w:sz w:val="24"/>
        </w:rPr>
        <w:t xml:space="preserve"> scientific vocabulary taught in each unit of work</w:t>
      </w:r>
    </w:p>
    <w:p w:rsidR="0077668A" w:rsidRPr="00DA516D" w:rsidRDefault="0077668A" w:rsidP="0077668A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</w:rPr>
      </w:pPr>
      <w:r w:rsidRPr="00DA516D">
        <w:rPr>
          <w:rFonts w:ascii="Palatino Linotype" w:hAnsi="Palatino Linotype"/>
          <w:sz w:val="24"/>
        </w:rPr>
        <w:t>Understand the nature, processes and methods of science through different types of science enquiries built within the units of work</w:t>
      </w:r>
      <w:r w:rsidR="0060371B" w:rsidRPr="00DA516D">
        <w:rPr>
          <w:rFonts w:ascii="Palatino Linotype" w:hAnsi="Palatino Linotype"/>
          <w:sz w:val="24"/>
        </w:rPr>
        <w:t xml:space="preserve"> that in turn build upon each other</w:t>
      </w:r>
    </w:p>
    <w:p w:rsidR="0077668A" w:rsidRPr="00DA516D" w:rsidRDefault="0077668A" w:rsidP="0077668A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</w:rPr>
      </w:pPr>
      <w:r w:rsidRPr="00DA516D">
        <w:rPr>
          <w:rFonts w:ascii="Palatino Linotype" w:hAnsi="Palatino Linotype"/>
          <w:sz w:val="24"/>
        </w:rPr>
        <w:t>Follow different types of science enquiries which enable children to answer scientific questions</w:t>
      </w:r>
    </w:p>
    <w:p w:rsidR="0077668A" w:rsidRPr="00DA516D" w:rsidRDefault="0077668A" w:rsidP="0077668A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</w:rPr>
      </w:pPr>
      <w:r w:rsidRPr="00DA516D">
        <w:rPr>
          <w:rFonts w:ascii="Palatino Linotype" w:hAnsi="Palatino Linotype"/>
          <w:sz w:val="24"/>
        </w:rPr>
        <w:t xml:space="preserve">Understand how different scientists working in different branches of science have contributed to knowledge and of how </w:t>
      </w:r>
      <w:r w:rsidR="0060371B" w:rsidRPr="00DA516D">
        <w:rPr>
          <w:rFonts w:ascii="Palatino Linotype" w:hAnsi="Palatino Linotype"/>
          <w:sz w:val="24"/>
        </w:rPr>
        <w:t>their discoveries have impacted upon our world.</w:t>
      </w:r>
    </w:p>
    <w:p w:rsidR="0060371B" w:rsidRPr="00DA516D" w:rsidRDefault="0060371B" w:rsidP="0060371B">
      <w:pPr>
        <w:pStyle w:val="ListParagraph"/>
        <w:rPr>
          <w:rFonts w:ascii="Palatino Linotype" w:hAnsi="Palatino Linotype"/>
          <w:sz w:val="24"/>
        </w:rPr>
      </w:pPr>
    </w:p>
    <w:p w:rsidR="0060371B" w:rsidRPr="00DA516D" w:rsidRDefault="0060371B" w:rsidP="0060371B">
      <w:pPr>
        <w:pStyle w:val="ListParagraph"/>
        <w:ind w:left="0"/>
        <w:rPr>
          <w:rFonts w:ascii="Palatino Linotype" w:hAnsi="Palatino Linotype"/>
          <w:sz w:val="24"/>
        </w:rPr>
      </w:pPr>
      <w:r w:rsidRPr="00DA516D">
        <w:rPr>
          <w:rFonts w:ascii="Palatino Linotype" w:hAnsi="Palatino Linotype"/>
          <w:sz w:val="24"/>
        </w:rPr>
        <w:t xml:space="preserve">By the end of </w:t>
      </w:r>
      <w:r w:rsidR="004D41B2" w:rsidRPr="00DA516D">
        <w:rPr>
          <w:rFonts w:ascii="Palatino Linotype" w:hAnsi="Palatino Linotype"/>
          <w:sz w:val="24"/>
        </w:rPr>
        <w:t xml:space="preserve">the Foundation Stage and </w:t>
      </w:r>
      <w:r w:rsidRPr="00DA516D">
        <w:rPr>
          <w:rFonts w:ascii="Palatino Linotype" w:hAnsi="Palatino Linotype"/>
          <w:sz w:val="24"/>
        </w:rPr>
        <w:t xml:space="preserve">each key stage, pupils are expected to know, apply and understand the concepts, skills and processes identified in the </w:t>
      </w:r>
      <w:r w:rsidR="0073472D" w:rsidRPr="00DA516D">
        <w:rPr>
          <w:rFonts w:ascii="Palatino Linotype" w:hAnsi="Palatino Linotype"/>
          <w:sz w:val="24"/>
        </w:rPr>
        <w:t xml:space="preserve">Development Matters document and the </w:t>
      </w:r>
      <w:r w:rsidRPr="00DA516D">
        <w:rPr>
          <w:rFonts w:ascii="Palatino Linotype" w:hAnsi="Palatino Linotype"/>
          <w:sz w:val="24"/>
        </w:rPr>
        <w:t>relevant programmes of study.</w:t>
      </w:r>
    </w:p>
    <w:p w:rsidR="0060371B" w:rsidRPr="00DA516D" w:rsidRDefault="0060371B" w:rsidP="0060371B">
      <w:pPr>
        <w:pStyle w:val="ListParagraph"/>
        <w:ind w:left="0"/>
        <w:rPr>
          <w:rFonts w:ascii="Palatino Linotype" w:hAnsi="Palatino Linotype"/>
          <w:sz w:val="24"/>
        </w:rPr>
      </w:pPr>
      <w:r w:rsidRPr="00DA516D">
        <w:rPr>
          <w:rFonts w:ascii="Palatino Linotype" w:hAnsi="Palatino Linotype"/>
          <w:sz w:val="24"/>
        </w:rPr>
        <w:t xml:space="preserve">Pupils will have acquired coherent knowledge and understanding of the disciplines of biology, chemistry and physics taught. They will ask scientific questions, think critically, analyse evidence and draw conclusions. </w:t>
      </w:r>
    </w:p>
    <w:p w:rsidR="0060371B" w:rsidRPr="00DA516D" w:rsidRDefault="0060371B" w:rsidP="0060371B">
      <w:pPr>
        <w:pStyle w:val="ListParagraph"/>
        <w:ind w:left="0"/>
        <w:rPr>
          <w:rFonts w:ascii="Palatino Linotype" w:hAnsi="Palatino Linotype"/>
          <w:sz w:val="24"/>
        </w:rPr>
      </w:pPr>
      <w:r w:rsidRPr="00DA516D">
        <w:rPr>
          <w:rFonts w:ascii="Palatino Linotype" w:hAnsi="Palatino Linotype"/>
          <w:sz w:val="24"/>
        </w:rPr>
        <w:t xml:space="preserve">Lessons, which are planned using the PKC curriculum as a base, are sequenced to develop knowledge, develop scientific vocabulary usage and </w:t>
      </w:r>
      <w:r w:rsidR="004D41B2" w:rsidRPr="00DA516D">
        <w:rPr>
          <w:rFonts w:ascii="Palatino Linotype" w:hAnsi="Palatino Linotype"/>
          <w:sz w:val="24"/>
        </w:rPr>
        <w:t>enable critical thinking.</w:t>
      </w:r>
    </w:p>
    <w:p w:rsidR="00050E1E" w:rsidRDefault="00050E1E" w:rsidP="0060371B">
      <w:pPr>
        <w:pStyle w:val="ListParagraph"/>
        <w:ind w:left="0"/>
        <w:rPr>
          <w:rFonts w:ascii="Palatino Linotype" w:hAnsi="Palatino Linotype"/>
          <w:sz w:val="24"/>
        </w:rPr>
      </w:pPr>
      <w:r w:rsidRPr="00DA516D">
        <w:rPr>
          <w:rFonts w:ascii="Palatino Linotype" w:hAnsi="Palatino Linotype"/>
          <w:sz w:val="24"/>
        </w:rPr>
        <w:t xml:space="preserve">Evidence of learning </w:t>
      </w:r>
      <w:proofErr w:type="gramStart"/>
      <w:r w:rsidRPr="00DA516D">
        <w:rPr>
          <w:rFonts w:ascii="Palatino Linotype" w:hAnsi="Palatino Linotype"/>
          <w:sz w:val="24"/>
        </w:rPr>
        <w:t>is shown</w:t>
      </w:r>
      <w:proofErr w:type="gramEnd"/>
      <w:r w:rsidRPr="00DA516D">
        <w:rPr>
          <w:rFonts w:ascii="Palatino Linotype" w:hAnsi="Palatino Linotype"/>
          <w:sz w:val="24"/>
        </w:rPr>
        <w:t xml:space="preserve"> in pupils’ books, through pupil voice and through displays in school.</w:t>
      </w:r>
    </w:p>
    <w:p w:rsidR="00C91435" w:rsidRDefault="00C91435" w:rsidP="0060371B">
      <w:pPr>
        <w:pStyle w:val="ListParagraph"/>
        <w:ind w:left="0"/>
        <w:rPr>
          <w:rFonts w:ascii="Palatino Linotype" w:hAnsi="Palatino Linotype"/>
          <w:sz w:val="24"/>
        </w:rPr>
      </w:pPr>
    </w:p>
    <w:p w:rsidR="00C91435" w:rsidRDefault="00C91435" w:rsidP="0060371B">
      <w:pPr>
        <w:pStyle w:val="ListParagraph"/>
        <w:ind w:left="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Inclusion</w:t>
      </w:r>
    </w:p>
    <w:p w:rsidR="00C91435" w:rsidRDefault="00C91435" w:rsidP="0060371B">
      <w:pPr>
        <w:pStyle w:val="ListParagraph"/>
        <w:ind w:left="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For children with special educational needs, accessing the science curriculum is a way of children becoming curious, asking questions, exploring scientific concepts and procedures</w:t>
      </w:r>
      <w:r w:rsidR="003E7F3B">
        <w:rPr>
          <w:rFonts w:ascii="Palatino Linotype" w:hAnsi="Palatino Linotype"/>
          <w:sz w:val="24"/>
        </w:rPr>
        <w:t>, evaluating and analysing evidence</w:t>
      </w:r>
      <w:r>
        <w:rPr>
          <w:rFonts w:ascii="Palatino Linotype" w:hAnsi="Palatino Linotype"/>
          <w:sz w:val="24"/>
        </w:rPr>
        <w:t xml:space="preserve"> and </w:t>
      </w:r>
      <w:r w:rsidR="003E7F3B">
        <w:rPr>
          <w:rFonts w:ascii="Palatino Linotype" w:hAnsi="Palatino Linotype"/>
          <w:sz w:val="24"/>
        </w:rPr>
        <w:t xml:space="preserve">developing their knowledge, </w:t>
      </w:r>
      <w:r>
        <w:rPr>
          <w:rFonts w:ascii="Palatino Linotype" w:hAnsi="Palatino Linotype"/>
          <w:sz w:val="24"/>
        </w:rPr>
        <w:t>in spite of the challenges they have with their learning.</w:t>
      </w:r>
    </w:p>
    <w:p w:rsidR="00C91435" w:rsidRDefault="00C91435" w:rsidP="0060371B">
      <w:pPr>
        <w:pStyle w:val="ListParagraph"/>
        <w:ind w:left="0"/>
        <w:rPr>
          <w:rFonts w:ascii="Palatino Linotype" w:hAnsi="Palatino Linotype"/>
          <w:sz w:val="24"/>
        </w:rPr>
      </w:pPr>
    </w:p>
    <w:p w:rsidR="00C91435" w:rsidRDefault="00C91435" w:rsidP="0060371B">
      <w:pPr>
        <w:pStyle w:val="ListParagraph"/>
        <w:ind w:left="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Suitable strategies that enable children to access the curriculum include:</w:t>
      </w:r>
    </w:p>
    <w:p w:rsidR="00C91435" w:rsidRDefault="00C91435" w:rsidP="00C91435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Pre-teaching</w:t>
      </w:r>
    </w:p>
    <w:p w:rsidR="003E7F3B" w:rsidRDefault="003E7F3B" w:rsidP="00C91435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Revision of previous learning and vocabulary</w:t>
      </w:r>
    </w:p>
    <w:p w:rsidR="00C91435" w:rsidRDefault="00C91435" w:rsidP="00C91435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An engaging hook into the lesson</w:t>
      </w:r>
    </w:p>
    <w:p w:rsidR="00C91435" w:rsidRPr="00C91435" w:rsidRDefault="00C91435" w:rsidP="00C91435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sz w:val="24"/>
        </w:rPr>
      </w:pPr>
      <w:r w:rsidRPr="00C91435">
        <w:rPr>
          <w:rFonts w:ascii="Palatino Linotype" w:hAnsi="Palatino Linotype"/>
          <w:sz w:val="24"/>
        </w:rPr>
        <w:t xml:space="preserve">Carefully consider the </w:t>
      </w:r>
      <w:r w:rsidRPr="00C91435">
        <w:rPr>
          <w:rFonts w:ascii="Palatino Linotype" w:hAnsi="Palatino Linotype"/>
          <w:sz w:val="24"/>
        </w:rPr>
        <w:t xml:space="preserve">learning </w:t>
      </w:r>
      <w:r w:rsidRPr="00C91435">
        <w:rPr>
          <w:rFonts w:ascii="Palatino Linotype" w:hAnsi="Palatino Linotype"/>
          <w:sz w:val="24"/>
        </w:rPr>
        <w:t xml:space="preserve">objective </w:t>
      </w:r>
      <w:r w:rsidRPr="00C91435">
        <w:rPr>
          <w:rFonts w:ascii="Palatino Linotype" w:hAnsi="Palatino Linotype"/>
          <w:sz w:val="24"/>
        </w:rPr>
        <w:t>and breaking it down into smaller, more simple parts</w:t>
      </w:r>
    </w:p>
    <w:p w:rsidR="00C91435" w:rsidRPr="00C91435" w:rsidRDefault="00C91435" w:rsidP="00C91435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sz w:val="24"/>
        </w:rPr>
      </w:pPr>
      <w:r w:rsidRPr="00C91435">
        <w:rPr>
          <w:rFonts w:ascii="Palatino Linotype" w:hAnsi="Palatino Linotype"/>
          <w:sz w:val="24"/>
        </w:rPr>
        <w:lastRenderedPageBreak/>
        <w:t xml:space="preserve">Present the information in a meaningful way – use visuals, </w:t>
      </w:r>
      <w:r w:rsidR="003E7F3B">
        <w:rPr>
          <w:rFonts w:ascii="Palatino Linotype" w:hAnsi="Palatino Linotype"/>
          <w:sz w:val="24"/>
        </w:rPr>
        <w:t xml:space="preserve">practical </w:t>
      </w:r>
      <w:r w:rsidRPr="00C91435">
        <w:rPr>
          <w:rFonts w:ascii="Palatino Linotype" w:hAnsi="Palatino Linotype"/>
          <w:sz w:val="24"/>
        </w:rPr>
        <w:t xml:space="preserve">equipment, videos </w:t>
      </w:r>
      <w:proofErr w:type="spellStart"/>
      <w:r w:rsidRPr="00C91435">
        <w:rPr>
          <w:rFonts w:ascii="Palatino Linotype" w:hAnsi="Palatino Linotype"/>
          <w:sz w:val="24"/>
        </w:rPr>
        <w:t>etc</w:t>
      </w:r>
      <w:proofErr w:type="spellEnd"/>
      <w:r w:rsidR="00576A03">
        <w:rPr>
          <w:rFonts w:ascii="Palatino Linotype" w:hAnsi="Palatino Linotype"/>
          <w:sz w:val="24"/>
        </w:rPr>
        <w:t xml:space="preserve"> (including use of maths equipment to support use of maths in science)</w:t>
      </w:r>
    </w:p>
    <w:p w:rsidR="00C91435" w:rsidRPr="00C91435" w:rsidRDefault="00C91435" w:rsidP="00C91435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sz w:val="24"/>
        </w:rPr>
      </w:pPr>
      <w:r w:rsidRPr="00C91435">
        <w:rPr>
          <w:rFonts w:ascii="Palatino Linotype" w:hAnsi="Palatino Linotype"/>
          <w:sz w:val="24"/>
        </w:rPr>
        <w:t>Provide vocabulary mats</w:t>
      </w:r>
      <w:r w:rsidR="00576A03">
        <w:rPr>
          <w:rFonts w:ascii="Palatino Linotype" w:hAnsi="Palatino Linotype"/>
          <w:sz w:val="24"/>
        </w:rPr>
        <w:t>/word banks</w:t>
      </w:r>
    </w:p>
    <w:p w:rsidR="00C91435" w:rsidRPr="00C91435" w:rsidRDefault="00C91435" w:rsidP="00C91435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sz w:val="24"/>
        </w:rPr>
      </w:pPr>
      <w:r w:rsidRPr="00C91435">
        <w:rPr>
          <w:rFonts w:ascii="Palatino Linotype" w:hAnsi="Palatino Linotype"/>
          <w:sz w:val="24"/>
        </w:rPr>
        <w:t>Model how to use vocabulary</w:t>
      </w:r>
      <w:r w:rsidR="00CE7288">
        <w:rPr>
          <w:rFonts w:ascii="Palatino Linotype" w:hAnsi="Palatino Linotype"/>
          <w:sz w:val="24"/>
        </w:rPr>
        <w:t xml:space="preserve"> – use it in other lessons </w:t>
      </w:r>
      <w:proofErr w:type="spellStart"/>
      <w:r w:rsidR="00CE7288">
        <w:rPr>
          <w:rFonts w:ascii="Palatino Linotype" w:hAnsi="Palatino Linotype"/>
          <w:sz w:val="24"/>
        </w:rPr>
        <w:t>etc</w:t>
      </w:r>
      <w:proofErr w:type="spellEnd"/>
      <w:r w:rsidR="00CE7288">
        <w:rPr>
          <w:rFonts w:ascii="Palatino Linotype" w:hAnsi="Palatino Linotype"/>
          <w:sz w:val="24"/>
        </w:rPr>
        <w:t xml:space="preserve"> as applicable</w:t>
      </w:r>
    </w:p>
    <w:p w:rsidR="00C91435" w:rsidRPr="00C91435" w:rsidRDefault="00C91435" w:rsidP="00C91435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sz w:val="24"/>
        </w:rPr>
      </w:pPr>
      <w:r w:rsidRPr="00C91435">
        <w:rPr>
          <w:rFonts w:ascii="Palatino Linotype" w:hAnsi="Palatino Linotype"/>
          <w:sz w:val="24"/>
        </w:rPr>
        <w:t>Provide verbal scaffolding</w:t>
      </w:r>
    </w:p>
    <w:p w:rsidR="00C91435" w:rsidRDefault="00C91435" w:rsidP="00C91435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sz w:val="24"/>
        </w:rPr>
      </w:pPr>
      <w:r w:rsidRPr="00C91435">
        <w:rPr>
          <w:rFonts w:ascii="Palatino Linotype" w:hAnsi="Palatino Linotype"/>
          <w:sz w:val="24"/>
        </w:rPr>
        <w:t>Provide writing scaffolds</w:t>
      </w:r>
    </w:p>
    <w:p w:rsidR="00CE7288" w:rsidRDefault="00CE7288" w:rsidP="00C91435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Use drama, actions, movement and songs</w:t>
      </w:r>
      <w:r w:rsidR="00855A2A">
        <w:rPr>
          <w:rFonts w:ascii="Palatino Linotype" w:hAnsi="Palatino Linotype"/>
          <w:sz w:val="24"/>
        </w:rPr>
        <w:t>, outside space</w:t>
      </w:r>
      <w:bookmarkStart w:id="0" w:name="_GoBack"/>
      <w:bookmarkEnd w:id="0"/>
    </w:p>
    <w:p w:rsidR="00576A03" w:rsidRDefault="00576A03" w:rsidP="00C91435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Teacher scribe</w:t>
      </w:r>
      <w:r w:rsidR="00CC5289">
        <w:rPr>
          <w:rFonts w:ascii="Palatino Linotype" w:hAnsi="Palatino Linotype"/>
          <w:sz w:val="24"/>
        </w:rPr>
        <w:t xml:space="preserve"> for recording</w:t>
      </w:r>
    </w:p>
    <w:p w:rsidR="003E7F3B" w:rsidRDefault="003E7F3B" w:rsidP="00C91435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Ensuring children with disabilities or impairments are fully included in the lesson (modified equipment if necessary)</w:t>
      </w:r>
    </w:p>
    <w:p w:rsidR="00CC5289" w:rsidRPr="00C91435" w:rsidRDefault="00CC5289" w:rsidP="00C91435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Plan movement breaks, fuss-free seating, small-group work with TA or teacher</w:t>
      </w:r>
    </w:p>
    <w:p w:rsidR="00C91435" w:rsidRPr="00DA516D" w:rsidRDefault="00C91435" w:rsidP="0060371B">
      <w:pPr>
        <w:pStyle w:val="ListParagraph"/>
        <w:ind w:left="0"/>
        <w:rPr>
          <w:rFonts w:ascii="Palatino Linotype" w:hAnsi="Palatino Linotype"/>
          <w:sz w:val="24"/>
        </w:rPr>
      </w:pPr>
    </w:p>
    <w:sectPr w:rsidR="00C91435" w:rsidRPr="00DA516D" w:rsidSect="003E7F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7F49"/>
    <w:multiLevelType w:val="hybridMultilevel"/>
    <w:tmpl w:val="CA189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22018"/>
    <w:multiLevelType w:val="hybridMultilevel"/>
    <w:tmpl w:val="CA98D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E"/>
    <w:rsid w:val="00050E1E"/>
    <w:rsid w:val="00297DCE"/>
    <w:rsid w:val="003E7F3B"/>
    <w:rsid w:val="00423183"/>
    <w:rsid w:val="004D41B2"/>
    <w:rsid w:val="00576A03"/>
    <w:rsid w:val="0060371B"/>
    <w:rsid w:val="0073472D"/>
    <w:rsid w:val="0077668A"/>
    <w:rsid w:val="00805F20"/>
    <w:rsid w:val="00855A2A"/>
    <w:rsid w:val="00861D32"/>
    <w:rsid w:val="009F5352"/>
    <w:rsid w:val="00B96C7C"/>
    <w:rsid w:val="00BA0004"/>
    <w:rsid w:val="00C91435"/>
    <w:rsid w:val="00CC5289"/>
    <w:rsid w:val="00CE7288"/>
    <w:rsid w:val="00DA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446C"/>
  <w15:chartTrackingRefBased/>
  <w15:docId w15:val="{F450A89F-5E21-48DA-BD77-7458238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FCEA5-5CFA-41F3-AB9F-681BDC42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Quinn</dc:creator>
  <cp:keywords/>
  <dc:description/>
  <cp:lastModifiedBy>Alison Quinn</cp:lastModifiedBy>
  <cp:revision>15</cp:revision>
  <cp:lastPrinted>2021-09-27T14:50:00Z</cp:lastPrinted>
  <dcterms:created xsi:type="dcterms:W3CDTF">2021-09-12T20:24:00Z</dcterms:created>
  <dcterms:modified xsi:type="dcterms:W3CDTF">2022-04-29T11:12:00Z</dcterms:modified>
</cp:coreProperties>
</file>