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D25798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84484D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754041">
        <w:rPr>
          <w:b w:val="0"/>
          <w:bCs/>
          <w:color w:val="auto"/>
          <w:sz w:val="24"/>
          <w:szCs w:val="24"/>
        </w:rPr>
        <w:t>3</w:t>
      </w:r>
      <w:r>
        <w:rPr>
          <w:b w:val="0"/>
          <w:bCs/>
          <w:color w:val="auto"/>
          <w:sz w:val="24"/>
          <w:szCs w:val="24"/>
        </w:rPr>
        <w:t xml:space="preserve"> to 202</w:t>
      </w:r>
      <w:r w:rsidR="00754041">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FEFE694" w:rsidR="00E66558" w:rsidRDefault="00AC2EC3">
            <w:pPr>
              <w:pStyle w:val="TableRow"/>
            </w:pPr>
            <w:r>
              <w:t xml:space="preserve">Edenthorpe Hall </w:t>
            </w:r>
          </w:p>
        </w:tc>
      </w:tr>
      <w:tr w:rsidR="00E66558" w14:paraId="2A7D54BD"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542E5EC" w:rsidR="00E66558" w:rsidRDefault="00B3660A" w:rsidP="00853A64">
            <w:pPr>
              <w:pStyle w:val="TableRow"/>
            </w:pPr>
            <w:r>
              <w:t>19</w:t>
            </w:r>
            <w:r w:rsidR="00853A64">
              <w:t>5</w:t>
            </w:r>
          </w:p>
        </w:tc>
      </w:tr>
      <w:tr w:rsidR="00E66558" w14:paraId="2A7D54C0"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B81B1B4"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A8FBC7D" w:rsidR="00E66558" w:rsidRDefault="003C6A9A" w:rsidP="00853A64">
            <w:pPr>
              <w:pStyle w:val="TableRow"/>
            </w:pPr>
            <w:r>
              <w:t>3</w:t>
            </w:r>
            <w:r w:rsidR="00853A64">
              <w:t>0</w:t>
            </w:r>
            <w:r w:rsidR="00AC2EC3">
              <w:t xml:space="preserve">% </w:t>
            </w:r>
            <w:r w:rsidR="00075F74">
              <w:t xml:space="preserve">     </w:t>
            </w:r>
            <w:r>
              <w:t>59/19</w:t>
            </w:r>
            <w:r w:rsidR="00853A64">
              <w:t>5</w:t>
            </w:r>
          </w:p>
        </w:tc>
      </w:tr>
      <w:tr w:rsidR="00AC2EC3" w14:paraId="2A7D54C3"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AC2EC3" w:rsidRDefault="00AC2EC3" w:rsidP="00AC2EC3">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C0E8C" w14:textId="10C5B990" w:rsidR="00AC2EC3" w:rsidRDefault="00AC2EC3" w:rsidP="00AC2EC3">
            <w:pPr>
              <w:pStyle w:val="TableRow"/>
            </w:pPr>
            <w:r>
              <w:t>2021</w:t>
            </w:r>
            <w:r w:rsidR="00232741">
              <w:t>-2024</w:t>
            </w:r>
          </w:p>
          <w:p w14:paraId="6C76C8C1" w14:textId="29E1FD66" w:rsidR="00AC2EC3" w:rsidRDefault="00232741" w:rsidP="00AC2EC3">
            <w:pPr>
              <w:pStyle w:val="TableRow"/>
            </w:pPr>
            <w:r>
              <w:t xml:space="preserve"> (This year 202</w:t>
            </w:r>
            <w:r w:rsidR="003C6A9A">
              <w:t>3</w:t>
            </w:r>
            <w:r>
              <w:t>/202</w:t>
            </w:r>
            <w:r w:rsidR="003C6A9A">
              <w:t>4</w:t>
            </w:r>
            <w:r>
              <w:t>)</w:t>
            </w:r>
          </w:p>
          <w:p w14:paraId="2A7D54C2" w14:textId="1213C4F4" w:rsidR="00AC2EC3" w:rsidRDefault="00AC2EC3" w:rsidP="00AC2EC3">
            <w:pPr>
              <w:pStyle w:val="TableRow"/>
            </w:pPr>
          </w:p>
        </w:tc>
      </w:tr>
      <w:tr w:rsidR="00AC2EC3" w14:paraId="2A7D54C6"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AC2EC3" w:rsidRDefault="00AC2EC3" w:rsidP="00AC2EC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EFF7E1D" w:rsidR="00AC2EC3" w:rsidRDefault="0004053C" w:rsidP="17206FDB">
            <w:pPr>
              <w:pStyle w:val="TableRow"/>
              <w:ind w:left="0"/>
            </w:pPr>
            <w:r>
              <w:t>October</w:t>
            </w:r>
            <w:r w:rsidR="00AC2EC3">
              <w:t xml:space="preserve"> 202</w:t>
            </w:r>
            <w:r w:rsidR="003C6A9A">
              <w:t>3</w:t>
            </w:r>
          </w:p>
        </w:tc>
      </w:tr>
      <w:tr w:rsidR="00AC2EC3" w14:paraId="2A7D54C9"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AC2EC3" w:rsidRDefault="00AC2EC3" w:rsidP="00AC2EC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2C8FA34" w:rsidR="00AC2EC3" w:rsidRDefault="0004053C" w:rsidP="17206FDB">
            <w:pPr>
              <w:pStyle w:val="TableRow"/>
              <w:ind w:left="0"/>
            </w:pPr>
            <w:r>
              <w:t>Octobe</w:t>
            </w:r>
            <w:r w:rsidR="00AC2EC3">
              <w:t>r 202</w:t>
            </w:r>
            <w:r w:rsidR="00D368D2">
              <w:t>4</w:t>
            </w:r>
          </w:p>
        </w:tc>
      </w:tr>
      <w:tr w:rsidR="00AC2EC3" w14:paraId="2A7D54CC"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AC2EC3" w:rsidRDefault="00AC2EC3" w:rsidP="00AC2EC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7C23233" w:rsidR="00AC2EC3" w:rsidRDefault="4A480EED" w:rsidP="673AFE32">
            <w:pPr>
              <w:pStyle w:val="TableRow"/>
              <w:ind w:left="0"/>
            </w:pPr>
            <w:r>
              <w:t>Thomas Orr</w:t>
            </w:r>
          </w:p>
        </w:tc>
      </w:tr>
      <w:tr w:rsidR="00AC2EC3" w14:paraId="2A7D54CF"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AC2EC3" w:rsidRDefault="00AC2EC3" w:rsidP="00AC2EC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AF27616" w:rsidR="00AC2EC3" w:rsidRDefault="3E9C5BFE" w:rsidP="17206FDB">
            <w:pPr>
              <w:pStyle w:val="TableRow"/>
              <w:ind w:left="0"/>
            </w:pPr>
            <w:r>
              <w:t>Thomas Orr</w:t>
            </w:r>
          </w:p>
        </w:tc>
      </w:tr>
      <w:tr w:rsidR="00AC2EC3" w14:paraId="2A7D54D2" w14:textId="77777777" w:rsidTr="183E55B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AC2EC3" w:rsidRDefault="00AC2EC3" w:rsidP="00AC2EC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4C89797" w:rsidR="00AC2EC3" w:rsidRDefault="00075F74" w:rsidP="17206FDB">
            <w:pPr>
              <w:pStyle w:val="TableRow"/>
              <w:ind w:left="0"/>
            </w:pPr>
            <w:r>
              <w:t>Michael Lappin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17206FD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17206FD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DF73" w14:textId="042745DD" w:rsidR="00E66558" w:rsidRDefault="009D71E8">
            <w:pPr>
              <w:pStyle w:val="TableRow"/>
            </w:pPr>
            <w:r>
              <w:t>£</w:t>
            </w:r>
            <w:r w:rsidR="00DE2587">
              <w:t>71,533.33</w:t>
            </w:r>
          </w:p>
          <w:p w14:paraId="2A7D54D8" w14:textId="5F78A5C1" w:rsidR="00675F93" w:rsidRDefault="00675F93">
            <w:pPr>
              <w:pStyle w:val="TableRow"/>
            </w:pPr>
          </w:p>
        </w:tc>
      </w:tr>
      <w:tr w:rsidR="00E66558" w14:paraId="2A7D54DF" w14:textId="77777777" w:rsidTr="17206FD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C29049A" w:rsidR="00E66558" w:rsidRDefault="009D71E8">
            <w:pPr>
              <w:pStyle w:val="TableRow"/>
            </w:pPr>
            <w:r>
              <w:t>£</w:t>
            </w:r>
            <w:r w:rsidR="0004053C">
              <w:t>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343" w14:textId="0B2F5D5C" w:rsidR="00AD7D9A" w:rsidRPr="00901BB1" w:rsidRDefault="00901BB1" w:rsidP="002E2DD0">
            <w:pPr>
              <w:rPr>
                <w:rFonts w:cs="Arial"/>
                <w:sz w:val="22"/>
                <w:szCs w:val="20"/>
              </w:rPr>
            </w:pPr>
            <w:r w:rsidRPr="00901BB1">
              <w:rPr>
                <w:color w:val="000000"/>
                <w:sz w:val="22"/>
                <w:szCs w:val="20"/>
              </w:rPr>
              <w:t xml:space="preserve">Our intention at Edenthorpe Hall is that all pupils, irrespective of their background or the challenges they face, make good progress </w:t>
            </w:r>
            <w:r w:rsidR="00AD7D9A" w:rsidRPr="00901BB1">
              <w:rPr>
                <w:rFonts w:cs="Arial"/>
                <w:sz w:val="22"/>
                <w:szCs w:val="20"/>
              </w:rPr>
              <w:t>rates</w:t>
            </w:r>
            <w:r w:rsidR="00A55DC8" w:rsidRPr="00901BB1">
              <w:rPr>
                <w:rFonts w:cs="Arial"/>
                <w:sz w:val="22"/>
                <w:szCs w:val="20"/>
              </w:rPr>
              <w:t xml:space="preserve"> </w:t>
            </w:r>
            <w:r w:rsidRPr="00901BB1">
              <w:rPr>
                <w:color w:val="000000"/>
                <w:sz w:val="22"/>
                <w:szCs w:val="20"/>
              </w:rPr>
              <w:t>and achieve high attainment across all subject areas.</w:t>
            </w:r>
          </w:p>
          <w:p w14:paraId="4DDE9851" w14:textId="77777777" w:rsidR="00901BB1" w:rsidRPr="00901BB1" w:rsidRDefault="00901BB1" w:rsidP="00994310">
            <w:pPr>
              <w:rPr>
                <w:color w:val="000000"/>
                <w:sz w:val="22"/>
                <w:szCs w:val="20"/>
              </w:rPr>
            </w:pPr>
            <w:r w:rsidRPr="00901BB1">
              <w:rPr>
                <w:rFonts w:cs="Arial"/>
                <w:sz w:val="22"/>
                <w:szCs w:val="20"/>
              </w:rPr>
              <w:t>We aim to ensure</w:t>
            </w:r>
            <w:r w:rsidR="00A55DC8" w:rsidRPr="00901BB1">
              <w:rPr>
                <w:rFonts w:cs="Arial"/>
                <w:sz w:val="22"/>
                <w:szCs w:val="20"/>
              </w:rPr>
              <w:t xml:space="preserve"> appropriate provision is made for thos</w:t>
            </w:r>
            <w:r w:rsidR="002E2DD0" w:rsidRPr="00901BB1">
              <w:rPr>
                <w:rFonts w:cs="Arial"/>
                <w:sz w:val="22"/>
                <w:szCs w:val="20"/>
              </w:rPr>
              <w:t>e pupils who have limited extra-</w:t>
            </w:r>
            <w:r w:rsidR="00A55DC8" w:rsidRPr="00901BB1">
              <w:rPr>
                <w:rFonts w:cs="Arial"/>
                <w:sz w:val="22"/>
                <w:szCs w:val="20"/>
              </w:rPr>
              <w:t>curricular activities</w:t>
            </w:r>
            <w:r w:rsidRPr="00901BB1">
              <w:rPr>
                <w:rFonts w:cs="Arial"/>
                <w:sz w:val="22"/>
                <w:szCs w:val="20"/>
              </w:rPr>
              <w:t xml:space="preserve"> and to </w:t>
            </w:r>
            <w:r w:rsidR="00AD7D9A" w:rsidRPr="00901BB1">
              <w:rPr>
                <w:rFonts w:cs="Arial"/>
                <w:sz w:val="22"/>
                <w:szCs w:val="20"/>
              </w:rPr>
              <w:t>support our children’s health and wellbeing to enable them to access learning at an appropriate level.</w:t>
            </w:r>
            <w:r w:rsidRPr="00901BB1">
              <w:rPr>
                <w:color w:val="000000"/>
                <w:sz w:val="22"/>
                <w:szCs w:val="20"/>
              </w:rPr>
              <w:t xml:space="preserve"> </w:t>
            </w:r>
          </w:p>
          <w:p w14:paraId="2937CF28" w14:textId="56C7E665" w:rsidR="00E66558" w:rsidRPr="00901BB1" w:rsidRDefault="00901BB1" w:rsidP="00994310">
            <w:pPr>
              <w:rPr>
                <w:color w:val="000000"/>
                <w:sz w:val="22"/>
                <w:szCs w:val="20"/>
              </w:rPr>
            </w:pPr>
            <w:r w:rsidRPr="00901BB1">
              <w:rPr>
                <w:color w:val="000000"/>
                <w:sz w:val="22"/>
                <w:szCs w:val="20"/>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p>
          <w:p w14:paraId="63B3B42B" w14:textId="45194B16" w:rsidR="00901BB1" w:rsidRPr="00901BB1" w:rsidRDefault="00901BB1" w:rsidP="00994310">
            <w:pPr>
              <w:rPr>
                <w:rFonts w:cs="Arial"/>
                <w:sz w:val="22"/>
                <w:szCs w:val="20"/>
              </w:rPr>
            </w:pPr>
            <w:r w:rsidRPr="00901BB1">
              <w:rPr>
                <w:color w:val="000000"/>
                <w:sz w:val="22"/>
                <w:szCs w:val="20"/>
              </w:rPr>
              <w:t>The approaches we have adopted complement each other to help pupils excel. To ensure they are effective we will: · ensure disadvantaged pupils are challenged in the work that they’re set · act early to intervene at the point need is identified · adopt a whole school approach in which all staff take responsibility for disadvantaged pupils’ outcomes and raise expectations of what they can achieve</w:t>
            </w:r>
          </w:p>
          <w:p w14:paraId="7D8278DF" w14:textId="77777777" w:rsidR="00994310" w:rsidRPr="00901BB1" w:rsidRDefault="00994310" w:rsidP="00994310">
            <w:pPr>
              <w:rPr>
                <w:rFonts w:cs="Arial"/>
                <w:sz w:val="22"/>
                <w:szCs w:val="20"/>
              </w:rPr>
            </w:pPr>
            <w:r w:rsidRPr="00901BB1">
              <w:rPr>
                <w:rFonts w:cs="Arial"/>
                <w:sz w:val="22"/>
                <w:szCs w:val="20"/>
              </w:rPr>
              <w:t xml:space="preserve">Research will be used to support decisions around the usefulness of different strategies. </w:t>
            </w:r>
          </w:p>
          <w:p w14:paraId="2A7D54E9" w14:textId="6A6AC301" w:rsidR="00994310" w:rsidRDefault="00994310" w:rsidP="00901BB1">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Ind w:w="-5" w:type="dxa"/>
        <w:tblCellMar>
          <w:left w:w="10" w:type="dxa"/>
          <w:right w:w="10" w:type="dxa"/>
        </w:tblCellMar>
        <w:tblLook w:val="04A0" w:firstRow="1" w:lastRow="0" w:firstColumn="1" w:lastColumn="0" w:noHBand="0" w:noVBand="1"/>
      </w:tblPr>
      <w:tblGrid>
        <w:gridCol w:w="1571"/>
        <w:gridCol w:w="7915"/>
      </w:tblGrid>
      <w:tr w:rsidR="00E66558" w14:paraId="2A7D54EF" w14:textId="77777777" w:rsidTr="00486B1E">
        <w:tc>
          <w:tcPr>
            <w:tcW w:w="15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3002D" w14:paraId="386A0A3A" w14:textId="77777777" w:rsidTr="00486B1E">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E5E5B" w14:textId="77777777" w:rsidR="00A3002D" w:rsidRDefault="00A3002D" w:rsidP="00AA6CE3">
            <w:pPr>
              <w:pStyle w:val="TableRow"/>
              <w:numPr>
                <w:ilvl w:val="0"/>
                <w:numId w:val="21"/>
              </w:numPr>
              <w:rPr>
                <w:sz w:val="22"/>
                <w:szCs w:val="22"/>
              </w:rPr>
            </w:pPr>
          </w:p>
        </w:tc>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9AEE" w14:textId="274F8D57" w:rsidR="00984FC1" w:rsidRDefault="00984FC1" w:rsidP="00661CC8">
            <w:pPr>
              <w:shd w:val="clear" w:color="auto" w:fill="FFFFFF" w:themeFill="background1"/>
            </w:pPr>
            <w:r>
              <w:t xml:space="preserve">The impact of COVID-19 has meant that the gap has widened for a number of PP children in reading and writing. Vocabulary, in both spoken and written shows the disrupted opportunities pupils have at time experienced. </w:t>
            </w:r>
          </w:p>
          <w:p w14:paraId="09B679C4" w14:textId="349C3A98" w:rsidR="00A3002D" w:rsidRPr="0039510D" w:rsidRDefault="00A3002D" w:rsidP="00661CC8">
            <w:pPr>
              <w:shd w:val="clear" w:color="auto" w:fill="FFFFFF" w:themeFill="background1"/>
              <w:rPr>
                <w:rFonts w:cs="Arial"/>
                <w:color w:val="000000"/>
                <w:sz w:val="22"/>
                <w:szCs w:val="22"/>
              </w:rPr>
            </w:pPr>
            <w:r w:rsidRPr="0039510D">
              <w:rPr>
                <w:rFonts w:cs="Arial"/>
                <w:sz w:val="22"/>
                <w:szCs w:val="22"/>
              </w:rPr>
              <w:t>Improve outcomes for disadvantaged learners and diminish</w:t>
            </w:r>
            <w:r w:rsidR="00661CC8" w:rsidRPr="0039510D">
              <w:rPr>
                <w:rFonts w:cs="Arial"/>
                <w:sz w:val="22"/>
                <w:szCs w:val="22"/>
              </w:rPr>
              <w:t xml:space="preserve"> the</w:t>
            </w:r>
            <w:r w:rsidRPr="0039510D">
              <w:rPr>
                <w:rFonts w:cs="Arial"/>
                <w:sz w:val="22"/>
                <w:szCs w:val="22"/>
              </w:rPr>
              <w:t xml:space="preserve"> difference between disadvantaged learners and their peers </w:t>
            </w:r>
          </w:p>
        </w:tc>
      </w:tr>
      <w:tr w:rsidR="00E66558" w14:paraId="2A7D54F5" w14:textId="77777777" w:rsidTr="00486B1E">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68AB856" w:rsidR="00E66558" w:rsidRDefault="00E66558" w:rsidP="00AA6CE3">
            <w:pPr>
              <w:pStyle w:val="TableRow"/>
              <w:numPr>
                <w:ilvl w:val="0"/>
                <w:numId w:val="21"/>
              </w:numPr>
              <w:rPr>
                <w:sz w:val="22"/>
                <w:szCs w:val="22"/>
              </w:rPr>
            </w:pPr>
          </w:p>
        </w:tc>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AEDEF98" w:rsidR="00E66558" w:rsidRPr="0039510D" w:rsidRDefault="00661CC8" w:rsidP="00984FC1">
            <w:pPr>
              <w:pStyle w:val="TableRowCentered"/>
              <w:jc w:val="left"/>
              <w:rPr>
                <w:rFonts w:cs="Arial"/>
                <w:sz w:val="22"/>
                <w:szCs w:val="22"/>
              </w:rPr>
            </w:pPr>
            <w:r w:rsidRPr="0039510D">
              <w:rPr>
                <w:rFonts w:cs="Arial"/>
                <w:color w:val="000000"/>
                <w:sz w:val="22"/>
                <w:szCs w:val="22"/>
              </w:rPr>
              <w:t>To i</w:t>
            </w:r>
            <w:r w:rsidR="00A55DC8" w:rsidRPr="0039510D">
              <w:rPr>
                <w:rFonts w:cs="Arial"/>
                <w:color w:val="000000"/>
                <w:sz w:val="22"/>
                <w:szCs w:val="22"/>
              </w:rPr>
              <w:t>mprove</w:t>
            </w:r>
            <w:r w:rsidR="0015457C" w:rsidRPr="0039510D">
              <w:rPr>
                <w:rFonts w:cs="Arial"/>
                <w:color w:val="000000"/>
                <w:sz w:val="22"/>
                <w:szCs w:val="22"/>
              </w:rPr>
              <w:t xml:space="preserve"> opportunities</w:t>
            </w:r>
            <w:r w:rsidRPr="0039510D">
              <w:rPr>
                <w:rFonts w:cs="Arial"/>
                <w:color w:val="000000"/>
                <w:sz w:val="22"/>
                <w:szCs w:val="22"/>
              </w:rPr>
              <w:t xml:space="preserve"> for PP pupils</w:t>
            </w:r>
            <w:r w:rsidR="0015457C" w:rsidRPr="0039510D">
              <w:rPr>
                <w:rFonts w:cs="Arial"/>
                <w:color w:val="000000"/>
                <w:sz w:val="22"/>
                <w:szCs w:val="22"/>
              </w:rPr>
              <w:t xml:space="preserve"> to read at home. </w:t>
            </w:r>
            <w:r w:rsidR="00AA6CE3" w:rsidRPr="0039510D">
              <w:rPr>
                <w:rFonts w:cs="Arial"/>
                <w:color w:val="000000"/>
                <w:sz w:val="22"/>
                <w:szCs w:val="22"/>
              </w:rPr>
              <w:t xml:space="preserve">Support </w:t>
            </w:r>
            <w:r w:rsidR="0004053C">
              <w:rPr>
                <w:rFonts w:cs="Arial"/>
                <w:color w:val="000000"/>
                <w:sz w:val="22"/>
                <w:szCs w:val="22"/>
              </w:rPr>
              <w:t xml:space="preserve">for many pupils </w:t>
            </w:r>
            <w:r w:rsidR="00AA6CE3" w:rsidRPr="0039510D">
              <w:rPr>
                <w:rFonts w:cs="Arial"/>
                <w:color w:val="000000"/>
                <w:sz w:val="22"/>
                <w:szCs w:val="22"/>
              </w:rPr>
              <w:t xml:space="preserve">can be lacking when compared to their </w:t>
            </w:r>
            <w:r w:rsidR="00984FC1" w:rsidRPr="0039510D">
              <w:rPr>
                <w:rFonts w:cs="Arial"/>
                <w:color w:val="000000"/>
                <w:sz w:val="22"/>
                <w:szCs w:val="22"/>
              </w:rPr>
              <w:t>peers</w:t>
            </w:r>
            <w:r w:rsidR="00984FC1">
              <w:rPr>
                <w:rFonts w:cs="Arial"/>
                <w:color w:val="000000"/>
                <w:sz w:val="22"/>
                <w:szCs w:val="22"/>
              </w:rPr>
              <w:t>. Some parents may not understand how to effectively meet the needs of their child. Over the past 2 years, parent workshops ha</w:t>
            </w:r>
            <w:r w:rsidR="00D368D2">
              <w:rPr>
                <w:rFonts w:cs="Arial"/>
                <w:color w:val="000000"/>
                <w:sz w:val="22"/>
                <w:szCs w:val="22"/>
              </w:rPr>
              <w:t>ve</w:t>
            </w:r>
            <w:r w:rsidR="00984FC1">
              <w:rPr>
                <w:rFonts w:cs="Arial"/>
                <w:color w:val="000000"/>
                <w:sz w:val="22"/>
                <w:szCs w:val="22"/>
              </w:rPr>
              <w:t xml:space="preserve"> not been able to take place</w:t>
            </w:r>
            <w:r w:rsidR="00D368D2">
              <w:rPr>
                <w:rFonts w:cs="Arial"/>
                <w:color w:val="000000"/>
                <w:sz w:val="22"/>
                <w:szCs w:val="22"/>
              </w:rPr>
              <w:t xml:space="preserve"> as frequently</w:t>
            </w:r>
            <w:r w:rsidR="00984FC1">
              <w:rPr>
                <w:rFonts w:cs="Arial"/>
                <w:color w:val="000000"/>
                <w:sz w:val="22"/>
                <w:szCs w:val="22"/>
              </w:rPr>
              <w:t xml:space="preserve">. </w:t>
            </w:r>
            <w:r w:rsidR="00AA6CE3" w:rsidRPr="0039510D">
              <w:rPr>
                <w:rFonts w:cs="Arial"/>
                <w:color w:val="000000"/>
                <w:sz w:val="22"/>
                <w:szCs w:val="22"/>
              </w:rPr>
              <w:t xml:space="preserve"> </w:t>
            </w:r>
            <w:r w:rsidR="00D368D2">
              <w:rPr>
                <w:rFonts w:cs="Arial"/>
                <w:color w:val="000000"/>
                <w:sz w:val="22"/>
                <w:szCs w:val="22"/>
              </w:rPr>
              <w:lastRenderedPageBreak/>
              <w:t xml:space="preserve">Parent workshops from the academic year 2022 to present day are now held face to face and online provision for parental access is now in place. </w:t>
            </w:r>
          </w:p>
        </w:tc>
      </w:tr>
      <w:tr w:rsidR="00E66558" w14:paraId="2A7D54FB" w14:textId="77777777" w:rsidTr="00486B1E">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65218C7" w:rsidR="00E66558" w:rsidRDefault="00486B1E">
            <w:pPr>
              <w:pStyle w:val="TableRow"/>
              <w:rPr>
                <w:sz w:val="22"/>
                <w:szCs w:val="22"/>
              </w:rPr>
            </w:pPr>
            <w:r>
              <w:rPr>
                <w:sz w:val="22"/>
                <w:szCs w:val="22"/>
              </w:rPr>
              <w:lastRenderedPageBreak/>
              <w:t>3</w:t>
            </w:r>
          </w:p>
        </w:tc>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83CCF8D" w:rsidR="00244591" w:rsidRPr="00585A10" w:rsidRDefault="00644278" w:rsidP="00C00A56">
            <w:pPr>
              <w:rPr>
                <w:rFonts w:cs="Arial"/>
                <w:iCs/>
                <w:sz w:val="22"/>
                <w:szCs w:val="22"/>
              </w:rPr>
            </w:pPr>
            <w:r w:rsidRPr="00585A10">
              <w:rPr>
                <w:rFonts w:cs="Arial"/>
                <w:sz w:val="22"/>
                <w:szCs w:val="22"/>
              </w:rPr>
              <w:t>To improve the learning culture and vocabulary of disadvantaged pupils</w:t>
            </w:r>
            <w:r w:rsidR="00994310" w:rsidRPr="00585A10">
              <w:rPr>
                <w:rFonts w:cs="Arial"/>
                <w:sz w:val="22"/>
                <w:szCs w:val="22"/>
              </w:rPr>
              <w:t xml:space="preserve"> </w:t>
            </w:r>
            <w:r w:rsidRPr="00585A10">
              <w:rPr>
                <w:rFonts w:cs="Arial"/>
                <w:sz w:val="22"/>
                <w:szCs w:val="22"/>
              </w:rPr>
              <w:t>through increased numbers of pupils accessing clubs and experiential learning activities.</w:t>
            </w:r>
            <w:r w:rsidR="00244591" w:rsidRPr="00585A10">
              <w:rPr>
                <w:rFonts w:cs="Arial"/>
                <w:sz w:val="22"/>
                <w:szCs w:val="22"/>
              </w:rPr>
              <w:t xml:space="preserve"> Currently 3</w:t>
            </w:r>
            <w:r w:rsidR="00C00A56" w:rsidRPr="00585A10">
              <w:rPr>
                <w:rFonts w:cs="Arial"/>
                <w:sz w:val="22"/>
                <w:szCs w:val="22"/>
              </w:rPr>
              <w:t>2</w:t>
            </w:r>
            <w:r w:rsidR="00244591" w:rsidRPr="00585A10">
              <w:rPr>
                <w:rFonts w:cs="Arial"/>
                <w:sz w:val="22"/>
                <w:szCs w:val="22"/>
              </w:rPr>
              <w:t xml:space="preserve">% of </w:t>
            </w:r>
            <w:r w:rsidR="002B4543" w:rsidRPr="00585A10">
              <w:rPr>
                <w:rFonts w:cs="Arial"/>
                <w:sz w:val="22"/>
                <w:szCs w:val="22"/>
              </w:rPr>
              <w:t xml:space="preserve">PP </w:t>
            </w:r>
            <w:r w:rsidR="00244591" w:rsidRPr="00585A10">
              <w:rPr>
                <w:rFonts w:cs="Arial"/>
                <w:sz w:val="22"/>
                <w:szCs w:val="22"/>
              </w:rPr>
              <w:t>children attending breakfast club</w:t>
            </w:r>
            <w:r w:rsidR="00C00A56" w:rsidRPr="00585A10">
              <w:rPr>
                <w:rFonts w:cs="Arial"/>
                <w:sz w:val="22"/>
                <w:szCs w:val="22"/>
              </w:rPr>
              <w:t>.23</w:t>
            </w:r>
            <w:r w:rsidR="00244591" w:rsidRPr="00585A10">
              <w:rPr>
                <w:rFonts w:cs="Arial"/>
                <w:sz w:val="22"/>
                <w:szCs w:val="22"/>
              </w:rPr>
              <w:t xml:space="preserve">% </w:t>
            </w:r>
            <w:r w:rsidR="002B4543" w:rsidRPr="00585A10">
              <w:rPr>
                <w:rFonts w:cs="Arial"/>
                <w:sz w:val="22"/>
                <w:szCs w:val="22"/>
              </w:rPr>
              <w:t>of PP children attending after school clubs</w:t>
            </w:r>
          </w:p>
        </w:tc>
      </w:tr>
      <w:tr w:rsidR="00E66558" w14:paraId="2A7D54FE" w14:textId="77777777" w:rsidTr="00486B1E">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56B5E77" w:rsidR="00E66558" w:rsidRDefault="00486B1E">
            <w:pPr>
              <w:pStyle w:val="TableRow"/>
              <w:rPr>
                <w:sz w:val="22"/>
                <w:szCs w:val="22"/>
              </w:rPr>
            </w:pPr>
            <w:bookmarkStart w:id="16" w:name="_Toc443397160"/>
            <w:r>
              <w:rPr>
                <w:sz w:val="22"/>
                <w:szCs w:val="22"/>
              </w:rPr>
              <w:t>4</w:t>
            </w:r>
          </w:p>
        </w:tc>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12003" w14:textId="77777777" w:rsidR="00EE413A" w:rsidRPr="00585A10" w:rsidRDefault="00661CC8" w:rsidP="00EE413A">
            <w:pPr>
              <w:spacing w:after="0"/>
              <w:rPr>
                <w:rFonts w:cs="Arial"/>
                <w:sz w:val="22"/>
                <w:szCs w:val="22"/>
              </w:rPr>
            </w:pPr>
            <w:r w:rsidRPr="00585A10">
              <w:rPr>
                <w:rFonts w:cs="Arial"/>
                <w:sz w:val="22"/>
                <w:szCs w:val="22"/>
              </w:rPr>
              <w:t>To improve attendance rates for disadvantaged pupils, narrowing the gap to their peers.</w:t>
            </w:r>
            <w:r w:rsidR="002B4543" w:rsidRPr="00585A10">
              <w:rPr>
                <w:rFonts w:cs="Arial"/>
                <w:sz w:val="22"/>
                <w:szCs w:val="22"/>
              </w:rPr>
              <w:t xml:space="preserve"> PP 93% - Target of 97%</w:t>
            </w:r>
            <w:r w:rsidR="00EE413A" w:rsidRPr="00585A10">
              <w:rPr>
                <w:rFonts w:cs="Arial"/>
                <w:sz w:val="22"/>
                <w:szCs w:val="22"/>
              </w:rPr>
              <w:t xml:space="preserve"> </w:t>
            </w:r>
          </w:p>
          <w:p w14:paraId="67F8BAF3" w14:textId="050D6946" w:rsidR="00EE413A" w:rsidRPr="00585A10" w:rsidRDefault="00EE413A" w:rsidP="00EE413A">
            <w:pPr>
              <w:spacing w:after="0"/>
              <w:rPr>
                <w:rFonts w:cs="Arial"/>
                <w:sz w:val="22"/>
                <w:szCs w:val="22"/>
              </w:rPr>
            </w:pPr>
            <w:r w:rsidRPr="00585A10">
              <w:rPr>
                <w:rFonts w:cs="Arial"/>
                <w:sz w:val="22"/>
                <w:szCs w:val="22"/>
              </w:rPr>
              <w:t>(</w:t>
            </w:r>
            <w:r w:rsidR="00C00A56" w:rsidRPr="00585A10">
              <w:rPr>
                <w:rFonts w:cs="Arial"/>
                <w:sz w:val="22"/>
                <w:szCs w:val="22"/>
              </w:rPr>
              <w:t>92.2</w:t>
            </w:r>
            <w:r w:rsidRPr="00585A10">
              <w:rPr>
                <w:rFonts w:cs="Arial"/>
                <w:sz w:val="22"/>
                <w:szCs w:val="22"/>
              </w:rPr>
              <w:t>% for PP pupils vs. 9</w:t>
            </w:r>
            <w:r w:rsidR="00C00A56" w:rsidRPr="00585A10">
              <w:rPr>
                <w:rFonts w:cs="Arial"/>
                <w:sz w:val="22"/>
                <w:szCs w:val="22"/>
              </w:rPr>
              <w:t>3</w:t>
            </w:r>
            <w:r w:rsidRPr="00585A10">
              <w:rPr>
                <w:rFonts w:cs="Arial"/>
                <w:sz w:val="22"/>
                <w:szCs w:val="22"/>
              </w:rPr>
              <w:t>.6% for All pupils in 20</w:t>
            </w:r>
            <w:r w:rsidR="00C00A56" w:rsidRPr="00585A10">
              <w:rPr>
                <w:rFonts w:cs="Arial"/>
                <w:sz w:val="22"/>
                <w:szCs w:val="22"/>
              </w:rPr>
              <w:t>21/22</w:t>
            </w:r>
            <w:r w:rsidRPr="00585A10">
              <w:rPr>
                <w:rFonts w:cs="Arial"/>
                <w:sz w:val="22"/>
                <w:szCs w:val="22"/>
              </w:rPr>
              <w:t>)</w:t>
            </w:r>
          </w:p>
          <w:p w14:paraId="6E8C47BE" w14:textId="22BCDAEB" w:rsidR="00D368D2" w:rsidRPr="00AB29F5" w:rsidRDefault="007D03AC" w:rsidP="00EE413A">
            <w:pPr>
              <w:spacing w:after="0"/>
              <w:rPr>
                <w:rFonts w:cs="Arial"/>
                <w:color w:val="8DB3E2" w:themeColor="text2" w:themeTint="66"/>
                <w:sz w:val="22"/>
                <w:szCs w:val="22"/>
              </w:rPr>
            </w:pPr>
            <w:r w:rsidRPr="00AB29F5">
              <w:rPr>
                <w:rFonts w:cs="Arial"/>
                <w:color w:val="8DB3E2" w:themeColor="text2" w:themeTint="66"/>
                <w:sz w:val="22"/>
                <w:szCs w:val="22"/>
              </w:rPr>
              <w:t>(93.13%</w:t>
            </w:r>
            <w:r w:rsidR="00D368D2" w:rsidRPr="00AB29F5">
              <w:rPr>
                <w:rFonts w:cs="Arial"/>
                <w:color w:val="8DB3E2" w:themeColor="text2" w:themeTint="66"/>
                <w:sz w:val="22"/>
                <w:szCs w:val="22"/>
              </w:rPr>
              <w:t xml:space="preserve"> PP pupils vs.  All pupils 94.9% (2022-2023)</w:t>
            </w:r>
          </w:p>
          <w:p w14:paraId="2A7D54FD" w14:textId="415BE877" w:rsidR="00E66558" w:rsidRPr="00585A10" w:rsidRDefault="00E66558" w:rsidP="00661CC8">
            <w:pPr>
              <w:pStyle w:val="TableRowCentered"/>
              <w:jc w:val="left"/>
              <w:rPr>
                <w:rFonts w:cs="Arial"/>
                <w:iCs/>
                <w:sz w:val="22"/>
                <w:szCs w:val="22"/>
              </w:rPr>
            </w:pPr>
          </w:p>
        </w:tc>
      </w:tr>
      <w:tr w:rsidR="00994310" w14:paraId="68337701" w14:textId="77777777" w:rsidTr="00486B1E">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8DE8" w14:textId="08CCC617" w:rsidR="00994310" w:rsidRDefault="00486B1E" w:rsidP="00994310">
            <w:pPr>
              <w:pStyle w:val="TableRow"/>
              <w:rPr>
                <w:sz w:val="22"/>
                <w:szCs w:val="22"/>
              </w:rPr>
            </w:pPr>
            <w:r>
              <w:rPr>
                <w:sz w:val="22"/>
                <w:szCs w:val="22"/>
              </w:rPr>
              <w:t>5</w:t>
            </w:r>
          </w:p>
        </w:tc>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D093" w14:textId="7D13162B" w:rsidR="00486B1E" w:rsidRDefault="00994310" w:rsidP="00EE413A">
            <w:pPr>
              <w:spacing w:after="0"/>
              <w:rPr>
                <w:rFonts w:cs="Arial"/>
              </w:rPr>
            </w:pPr>
            <w:r w:rsidRPr="00585A10">
              <w:rPr>
                <w:rFonts w:cs="Arial"/>
              </w:rPr>
              <w:t>To ensure that PP pupils are ready for learning, able to access academic work and make good or accelerated progress.</w:t>
            </w:r>
          </w:p>
          <w:p w14:paraId="60465AD8" w14:textId="77777777" w:rsidR="0069299F" w:rsidRDefault="0069299F" w:rsidP="00EE413A">
            <w:pPr>
              <w:spacing w:after="0"/>
              <w:rPr>
                <w:rFonts w:cs="Arial"/>
              </w:rPr>
            </w:pPr>
          </w:p>
          <w:p w14:paraId="0D79FA6C" w14:textId="77777777" w:rsidR="0069299F" w:rsidRDefault="00486B1E" w:rsidP="00EE413A">
            <w:pPr>
              <w:spacing w:after="0"/>
              <w:rPr>
                <w:rFonts w:cs="Arial"/>
                <w:sz w:val="22"/>
                <w:szCs w:val="22"/>
              </w:rPr>
            </w:pPr>
            <w:r>
              <w:rPr>
                <w:rFonts w:cs="Arial"/>
                <w:sz w:val="22"/>
                <w:szCs w:val="22"/>
              </w:rPr>
              <w:t>2021 -</w:t>
            </w:r>
            <w:r w:rsidR="00C00A56" w:rsidRPr="00585A10">
              <w:rPr>
                <w:rFonts w:cs="Arial"/>
                <w:sz w:val="22"/>
                <w:szCs w:val="22"/>
              </w:rPr>
              <w:t>2022</w:t>
            </w:r>
            <w:r w:rsidR="00EE413A" w:rsidRPr="00585A10">
              <w:rPr>
                <w:rFonts w:cs="Arial"/>
                <w:sz w:val="22"/>
                <w:szCs w:val="22"/>
              </w:rPr>
              <w:t xml:space="preserve"> = </w:t>
            </w:r>
            <w:r w:rsidR="00C00A56" w:rsidRPr="00585A10">
              <w:rPr>
                <w:rFonts w:cs="Arial"/>
                <w:sz w:val="22"/>
                <w:szCs w:val="22"/>
              </w:rPr>
              <w:t>27</w:t>
            </w:r>
            <w:r w:rsidR="00EE413A" w:rsidRPr="00585A10">
              <w:rPr>
                <w:rFonts w:cs="Arial"/>
                <w:sz w:val="22"/>
                <w:szCs w:val="22"/>
              </w:rPr>
              <w:t xml:space="preserve">% at KS2 </w:t>
            </w:r>
          </w:p>
          <w:p w14:paraId="1B7647B9" w14:textId="78B68785" w:rsidR="00486B1E" w:rsidRDefault="00EE413A" w:rsidP="00EE413A">
            <w:pPr>
              <w:spacing w:after="0"/>
              <w:rPr>
                <w:rFonts w:cs="Arial"/>
                <w:sz w:val="22"/>
                <w:szCs w:val="22"/>
              </w:rPr>
            </w:pPr>
            <w:r w:rsidRPr="00585A10">
              <w:rPr>
                <w:rFonts w:cs="Arial"/>
                <w:sz w:val="22"/>
                <w:szCs w:val="22"/>
              </w:rPr>
              <w:t>Reading</w:t>
            </w:r>
          </w:p>
          <w:p w14:paraId="2EA37A5F" w14:textId="676AAB9E" w:rsidR="00EE413A" w:rsidRDefault="00C00A56" w:rsidP="00EE413A">
            <w:pPr>
              <w:spacing w:after="0"/>
              <w:rPr>
                <w:rFonts w:cs="Arial"/>
                <w:sz w:val="22"/>
                <w:szCs w:val="22"/>
              </w:rPr>
            </w:pPr>
            <w:r w:rsidRPr="00585A10">
              <w:rPr>
                <w:rFonts w:cs="Arial"/>
                <w:sz w:val="22"/>
                <w:szCs w:val="22"/>
              </w:rPr>
              <w:t>36</w:t>
            </w:r>
            <w:r w:rsidR="00EE413A" w:rsidRPr="00585A10">
              <w:rPr>
                <w:rFonts w:cs="Arial"/>
                <w:sz w:val="22"/>
                <w:szCs w:val="22"/>
              </w:rPr>
              <w:t xml:space="preserve">% at KS2 Maths). </w:t>
            </w:r>
          </w:p>
          <w:p w14:paraId="0246B321" w14:textId="77777777" w:rsidR="00486B1E" w:rsidRDefault="00486B1E" w:rsidP="00EE413A">
            <w:pPr>
              <w:spacing w:after="0"/>
              <w:rPr>
                <w:rFonts w:cs="Arial"/>
                <w:sz w:val="22"/>
                <w:szCs w:val="22"/>
              </w:rPr>
            </w:pPr>
          </w:p>
          <w:p w14:paraId="4D99CF69" w14:textId="7B12853C" w:rsidR="00486B1E" w:rsidRPr="0069299F" w:rsidRDefault="00486B1E" w:rsidP="00EE413A">
            <w:pPr>
              <w:spacing w:after="0"/>
              <w:rPr>
                <w:rFonts w:cs="Arial"/>
                <w:color w:val="548DD4" w:themeColor="text2" w:themeTint="99"/>
                <w:sz w:val="22"/>
                <w:szCs w:val="22"/>
              </w:rPr>
            </w:pPr>
            <w:r w:rsidRPr="0069299F">
              <w:rPr>
                <w:rFonts w:cs="Arial"/>
                <w:color w:val="548DD4" w:themeColor="text2" w:themeTint="99"/>
                <w:sz w:val="22"/>
                <w:szCs w:val="22"/>
              </w:rPr>
              <w:t>2022 - 2023 = 86% Reading</w:t>
            </w:r>
          </w:p>
          <w:p w14:paraId="61EAF680" w14:textId="554272CF" w:rsidR="00486B1E" w:rsidRPr="0069299F" w:rsidRDefault="00486B1E" w:rsidP="00EE413A">
            <w:pPr>
              <w:spacing w:after="0"/>
              <w:rPr>
                <w:rFonts w:cs="Arial"/>
                <w:color w:val="548DD4" w:themeColor="text2" w:themeTint="99"/>
                <w:sz w:val="22"/>
                <w:szCs w:val="22"/>
              </w:rPr>
            </w:pPr>
            <w:r w:rsidRPr="0069299F">
              <w:rPr>
                <w:rFonts w:cs="Arial"/>
                <w:color w:val="548DD4" w:themeColor="text2" w:themeTint="99"/>
                <w:sz w:val="22"/>
                <w:szCs w:val="22"/>
              </w:rPr>
              <w:t>57% Writing</w:t>
            </w:r>
          </w:p>
          <w:p w14:paraId="713B4C08" w14:textId="598FB98A" w:rsidR="00486B1E" w:rsidRPr="0069299F" w:rsidRDefault="00486B1E" w:rsidP="00486B1E">
            <w:pPr>
              <w:spacing w:after="0" w:line="360" w:lineRule="auto"/>
              <w:rPr>
                <w:rFonts w:cs="Arial"/>
                <w:color w:val="548DD4" w:themeColor="text2" w:themeTint="99"/>
                <w:sz w:val="22"/>
                <w:szCs w:val="22"/>
              </w:rPr>
            </w:pPr>
            <w:r w:rsidRPr="0069299F">
              <w:rPr>
                <w:rFonts w:cs="Arial"/>
                <w:color w:val="548DD4" w:themeColor="text2" w:themeTint="99"/>
                <w:sz w:val="22"/>
                <w:szCs w:val="22"/>
              </w:rPr>
              <w:t>71% Maths</w:t>
            </w:r>
          </w:p>
          <w:p w14:paraId="5E17E32B" w14:textId="12F82F24" w:rsidR="00EE413A" w:rsidRPr="00585A10" w:rsidRDefault="00EE413A" w:rsidP="00EE413A">
            <w:pPr>
              <w:spacing w:after="0"/>
              <w:rPr>
                <w:rFonts w:cs="Arial"/>
                <w:sz w:val="22"/>
                <w:szCs w:val="22"/>
              </w:rPr>
            </w:pPr>
          </w:p>
          <w:p w14:paraId="351B9F45" w14:textId="77777777" w:rsidR="00994310" w:rsidRPr="00585A10" w:rsidRDefault="00994310" w:rsidP="00994310">
            <w:pPr>
              <w:pStyle w:val="TableRowCentered"/>
              <w:jc w:val="left"/>
              <w:rPr>
                <w:rFonts w:cs="Arial"/>
              </w:rPr>
            </w:pPr>
          </w:p>
          <w:p w14:paraId="537FC849" w14:textId="226F6FEF" w:rsidR="00994310" w:rsidRPr="00585A10" w:rsidRDefault="00994310" w:rsidP="00994310">
            <w:pPr>
              <w:pStyle w:val="TableRowCentered"/>
              <w:jc w:val="left"/>
              <w:rPr>
                <w:rFonts w:cs="Arial"/>
                <w:sz w:val="22"/>
                <w:szCs w:val="22"/>
              </w:rPr>
            </w:pPr>
          </w:p>
        </w:tc>
      </w:tr>
    </w:tbl>
    <w:p w14:paraId="5F95254F" w14:textId="77777777" w:rsidR="00436E4E" w:rsidRDefault="00436E4E">
      <w:pPr>
        <w:pStyle w:val="Heading2"/>
        <w:spacing w:before="600"/>
      </w:pPr>
    </w:p>
    <w:p w14:paraId="2A7D54FF" w14:textId="21A8B0D8"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6B0A3A0" w:rsidR="00E66558" w:rsidRDefault="00A8589A">
            <w:pPr>
              <w:pStyle w:val="TableHeader"/>
              <w:jc w:val="left"/>
            </w:pPr>
            <w:r>
              <w:t>Intended outcomes</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A6CE3" w14:paraId="7AEC481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F344A" w14:textId="77777777" w:rsidR="00E73A69" w:rsidRDefault="00E73A69" w:rsidP="00E73A69">
            <w:pPr>
              <w:pStyle w:val="TableRow"/>
              <w:rPr>
                <w:rFonts w:cs="Arial"/>
                <w:sz w:val="20"/>
                <w:szCs w:val="20"/>
              </w:rPr>
            </w:pPr>
            <w:r>
              <w:rPr>
                <w:rFonts w:cs="Arial"/>
                <w:sz w:val="20"/>
                <w:szCs w:val="20"/>
              </w:rPr>
              <w:t xml:space="preserve">Reading, Writing and Maths. </w:t>
            </w:r>
          </w:p>
          <w:p w14:paraId="0AD9C6E5" w14:textId="7B8BED65" w:rsidR="00AA6CE3" w:rsidRPr="002E2DD0" w:rsidRDefault="00687E0D" w:rsidP="00E73A69">
            <w:pPr>
              <w:pStyle w:val="TableRow"/>
              <w:rPr>
                <w:rFonts w:eastAsia="Calibri" w:cs="Arial"/>
                <w:color w:val="000000" w:themeColor="text1"/>
                <w:sz w:val="20"/>
                <w:szCs w:val="20"/>
              </w:rPr>
            </w:pPr>
            <w:r w:rsidRPr="002E2DD0">
              <w:rPr>
                <w:rFonts w:cs="Arial"/>
                <w:sz w:val="20"/>
                <w:szCs w:val="20"/>
              </w:rPr>
              <w:t>To ensure</w:t>
            </w:r>
            <w:r w:rsidR="00A3002D" w:rsidRPr="002E2DD0">
              <w:rPr>
                <w:rFonts w:cs="Arial"/>
                <w:sz w:val="20"/>
                <w:szCs w:val="20"/>
              </w:rPr>
              <w:t xml:space="preserve"> the percentage of pupils achieving combined ARE in reading, writing and Maths is brought in line with national averages and the gap with their peers is closed.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8203" w14:textId="19FD8F33" w:rsidR="00691D93" w:rsidRPr="002E2DD0" w:rsidRDefault="00984FC1" w:rsidP="002E2DD0">
            <w:pPr>
              <w:pStyle w:val="ListParagraph"/>
              <w:numPr>
                <w:ilvl w:val="0"/>
                <w:numId w:val="27"/>
              </w:numPr>
              <w:textAlignment w:val="baseline"/>
              <w:rPr>
                <w:rFonts w:eastAsia="Calibri" w:cs="Arial"/>
                <w:sz w:val="20"/>
                <w:szCs w:val="20"/>
              </w:rPr>
            </w:pPr>
            <w:r>
              <w:rPr>
                <w:rFonts w:eastAsia="Calibri" w:cs="Arial"/>
                <w:sz w:val="20"/>
                <w:szCs w:val="20"/>
              </w:rPr>
              <w:t>Continue to i</w:t>
            </w:r>
            <w:r w:rsidR="00A3002D" w:rsidRPr="002E2DD0">
              <w:rPr>
                <w:rFonts w:eastAsia="Calibri" w:cs="Arial"/>
                <w:sz w:val="20"/>
                <w:szCs w:val="20"/>
              </w:rPr>
              <w:t>mprove curriculum planning &amp; delivery in all areas so all groups make Good progress from their starting points</w:t>
            </w:r>
          </w:p>
          <w:p w14:paraId="5FAFEB8C" w14:textId="2C89C3AE" w:rsidR="00AA6CE3" w:rsidRPr="002E2DD0" w:rsidRDefault="00691D93" w:rsidP="002E2DD0">
            <w:pPr>
              <w:pStyle w:val="ListParagraph"/>
              <w:numPr>
                <w:ilvl w:val="0"/>
                <w:numId w:val="27"/>
              </w:numPr>
              <w:textAlignment w:val="baseline"/>
              <w:rPr>
                <w:rFonts w:cs="Arial"/>
                <w:sz w:val="20"/>
                <w:szCs w:val="20"/>
              </w:rPr>
            </w:pPr>
            <w:r w:rsidRPr="002E2DD0">
              <w:rPr>
                <w:rFonts w:cs="Arial"/>
                <w:sz w:val="20"/>
                <w:szCs w:val="20"/>
              </w:rPr>
              <w:t>Children in UKS2 who are not supported at home with learning will receive 1:1 tuition or other intensive individualised support in school</w:t>
            </w:r>
          </w:p>
        </w:tc>
      </w:tr>
      <w:tr w:rsidR="0004053C" w14:paraId="38CF2B8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7C2D" w14:textId="77777777" w:rsidR="00E73A69" w:rsidRDefault="00E73A69" w:rsidP="00436E4E">
            <w:pPr>
              <w:pStyle w:val="TableRow"/>
              <w:ind w:left="0"/>
              <w:jc w:val="both"/>
              <w:rPr>
                <w:rFonts w:eastAsia="Calibri" w:cs="Arial"/>
                <w:color w:val="000000" w:themeColor="text1"/>
                <w:sz w:val="20"/>
                <w:szCs w:val="20"/>
              </w:rPr>
            </w:pPr>
            <w:r>
              <w:rPr>
                <w:rFonts w:eastAsia="Calibri" w:cs="Arial"/>
                <w:color w:val="000000" w:themeColor="text1"/>
                <w:sz w:val="20"/>
                <w:szCs w:val="20"/>
              </w:rPr>
              <w:lastRenderedPageBreak/>
              <w:t>Reading and Phonics</w:t>
            </w:r>
          </w:p>
          <w:p w14:paraId="6A567EA5" w14:textId="21F7D545" w:rsidR="00BB444B" w:rsidRPr="002E2DD0" w:rsidRDefault="0004053C" w:rsidP="00436E4E">
            <w:pPr>
              <w:pStyle w:val="TableRow"/>
              <w:ind w:left="0"/>
              <w:jc w:val="both"/>
              <w:rPr>
                <w:rFonts w:eastAsia="Calibri" w:cs="Arial"/>
                <w:color w:val="000000" w:themeColor="text1"/>
                <w:sz w:val="20"/>
                <w:szCs w:val="20"/>
              </w:rPr>
            </w:pPr>
            <w:r w:rsidRPr="002E2DD0">
              <w:rPr>
                <w:rFonts w:eastAsia="Calibri" w:cs="Arial"/>
                <w:color w:val="000000" w:themeColor="text1"/>
                <w:sz w:val="20"/>
                <w:szCs w:val="20"/>
              </w:rPr>
              <w:t>Targeted interventions will ensure those who can’t read catch up quickly and close gaps</w:t>
            </w:r>
          </w:p>
          <w:p w14:paraId="701EC2C3" w14:textId="56594CD6" w:rsidR="0004053C" w:rsidRPr="002E2DD0" w:rsidRDefault="0004053C" w:rsidP="00436E4E">
            <w:pPr>
              <w:pStyle w:val="TableRow"/>
              <w:ind w:left="0"/>
              <w:jc w:val="both"/>
              <w:rPr>
                <w:rFonts w:eastAsia="Calibri" w:cs="Arial"/>
                <w:color w:val="000000" w:themeColor="text1"/>
                <w:sz w:val="20"/>
                <w:szCs w:val="20"/>
              </w:rPr>
            </w:pPr>
            <w:r w:rsidRPr="002E2DD0">
              <w:rPr>
                <w:rFonts w:eastAsia="Calibri" w:cs="Arial"/>
                <w:color w:val="000000" w:themeColor="text1"/>
                <w:sz w:val="20"/>
                <w:szCs w:val="20"/>
              </w:rPr>
              <w:t xml:space="preserve">Parents will know how to support children so children read regularly at home </w:t>
            </w:r>
            <w:r w:rsidR="00BB444B" w:rsidRPr="002E2DD0">
              <w:rPr>
                <w:rFonts w:eastAsia="Calibri" w:cs="Arial"/>
                <w:color w:val="000000" w:themeColor="text1"/>
                <w:sz w:val="20"/>
                <w:szCs w:val="20"/>
              </w:rPr>
              <w:t>and</w:t>
            </w:r>
            <w:r w:rsidRPr="002E2DD0">
              <w:rPr>
                <w:rFonts w:eastAsia="Calibri" w:cs="Arial"/>
                <w:color w:val="000000" w:themeColor="text1"/>
                <w:sz w:val="20"/>
                <w:szCs w:val="20"/>
              </w:rPr>
              <w:t xml:space="preserve"> fluency is improved.</w:t>
            </w:r>
          </w:p>
          <w:p w14:paraId="66A21FD7" w14:textId="3D448F48" w:rsidR="00BB444B" w:rsidRPr="002E2DD0" w:rsidRDefault="00BB444B" w:rsidP="00BB444B">
            <w:pPr>
              <w:pStyle w:val="NormalWeb"/>
              <w:rPr>
                <w:rFonts w:ascii="Arial" w:hAnsi="Arial" w:cs="Arial"/>
                <w:color w:val="000000"/>
                <w:sz w:val="20"/>
                <w:szCs w:val="20"/>
              </w:rPr>
            </w:pPr>
            <w:r w:rsidRPr="002E2DD0">
              <w:rPr>
                <w:rFonts w:ascii="Arial" w:hAnsi="Arial" w:cs="Arial"/>
                <w:color w:val="000000"/>
                <w:sz w:val="20"/>
                <w:szCs w:val="20"/>
              </w:rPr>
              <w:t>Delivery of high quality daily RWI phonics lessons by fully trained staff.</w:t>
            </w:r>
          </w:p>
          <w:p w14:paraId="1A1A6267" w14:textId="26AA58D6" w:rsidR="00BB444B" w:rsidRPr="002E2DD0" w:rsidRDefault="00BB444B" w:rsidP="00BB444B">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6CAA" w14:textId="77777777" w:rsidR="00BB444B" w:rsidRPr="002E2DD0" w:rsidRDefault="0004053C" w:rsidP="00BB444B">
            <w:pPr>
              <w:ind w:left="180"/>
              <w:textAlignment w:val="baseline"/>
              <w:rPr>
                <w:rFonts w:cs="Arial"/>
                <w:sz w:val="20"/>
                <w:szCs w:val="20"/>
              </w:rPr>
            </w:pPr>
            <w:r w:rsidRPr="002E2DD0">
              <w:rPr>
                <w:rFonts w:cs="Arial"/>
                <w:sz w:val="20"/>
                <w:szCs w:val="20"/>
              </w:rPr>
              <w:t>Pupils in vulnerable groups will make increased progress, narrowing the gap in attainment</w:t>
            </w:r>
            <w:r w:rsidR="00BB444B" w:rsidRPr="002E2DD0">
              <w:rPr>
                <w:rFonts w:cs="Arial"/>
                <w:sz w:val="20"/>
                <w:szCs w:val="20"/>
              </w:rPr>
              <w:t>, this will be through:</w:t>
            </w:r>
          </w:p>
          <w:p w14:paraId="2CAB6F7B" w14:textId="77777777" w:rsidR="00BB444B" w:rsidRPr="002E2DD0" w:rsidRDefault="00BB444B" w:rsidP="00BB444B">
            <w:pPr>
              <w:pStyle w:val="ListParagraph"/>
              <w:numPr>
                <w:ilvl w:val="0"/>
                <w:numId w:val="23"/>
              </w:numPr>
              <w:textAlignment w:val="baseline"/>
              <w:rPr>
                <w:rFonts w:cs="Arial"/>
                <w:sz w:val="20"/>
                <w:szCs w:val="20"/>
              </w:rPr>
            </w:pPr>
            <w:r w:rsidRPr="002E2DD0">
              <w:rPr>
                <w:rFonts w:cs="Arial"/>
                <w:sz w:val="20"/>
                <w:szCs w:val="20"/>
              </w:rPr>
              <w:t xml:space="preserve">Targeted </w:t>
            </w:r>
            <w:r w:rsidR="0004053C" w:rsidRPr="002E2DD0">
              <w:rPr>
                <w:rFonts w:cs="Arial"/>
                <w:sz w:val="20"/>
                <w:szCs w:val="20"/>
              </w:rPr>
              <w:t>Intervention timetables in place</w:t>
            </w:r>
          </w:p>
          <w:p w14:paraId="0146B4C1" w14:textId="6CD50304" w:rsidR="0004053C" w:rsidRPr="002E2DD0" w:rsidRDefault="00BB444B" w:rsidP="00BB444B">
            <w:pPr>
              <w:pStyle w:val="ListParagraph"/>
              <w:numPr>
                <w:ilvl w:val="0"/>
                <w:numId w:val="23"/>
              </w:numPr>
              <w:textAlignment w:val="baseline"/>
              <w:rPr>
                <w:rFonts w:cs="Arial"/>
                <w:sz w:val="20"/>
                <w:szCs w:val="20"/>
              </w:rPr>
            </w:pPr>
            <w:r w:rsidRPr="002E2DD0">
              <w:rPr>
                <w:rFonts w:cs="Arial"/>
                <w:sz w:val="20"/>
                <w:szCs w:val="20"/>
              </w:rPr>
              <w:t>P</w:t>
            </w:r>
            <w:r w:rsidR="0004053C" w:rsidRPr="002E2DD0">
              <w:rPr>
                <w:rFonts w:cs="Arial"/>
                <w:sz w:val="20"/>
                <w:szCs w:val="20"/>
              </w:rPr>
              <w:t xml:space="preserve">upil voice </w:t>
            </w:r>
          </w:p>
          <w:p w14:paraId="6D0C3A4C" w14:textId="77777777" w:rsidR="0004053C" w:rsidRPr="002E2DD0" w:rsidRDefault="0004053C" w:rsidP="00BB444B">
            <w:pPr>
              <w:pStyle w:val="ListParagraph"/>
              <w:numPr>
                <w:ilvl w:val="0"/>
                <w:numId w:val="23"/>
              </w:numPr>
              <w:suppressAutoHyphens w:val="0"/>
              <w:autoSpaceDN/>
              <w:spacing w:after="0" w:line="240" w:lineRule="auto"/>
              <w:rPr>
                <w:rFonts w:eastAsiaTheme="minorEastAsia" w:cs="Arial"/>
                <w:sz w:val="20"/>
                <w:szCs w:val="20"/>
              </w:rPr>
            </w:pPr>
            <w:r w:rsidRPr="002E2DD0">
              <w:rPr>
                <w:rFonts w:eastAsiaTheme="minorEastAsia" w:cs="Arial"/>
                <w:sz w:val="20"/>
                <w:szCs w:val="20"/>
              </w:rPr>
              <w:t xml:space="preserve">Individual reading records used by class teachers and TAs to communicate with parents about children’s individual progress. </w:t>
            </w:r>
          </w:p>
          <w:p w14:paraId="092565EE" w14:textId="77777777" w:rsidR="0004053C" w:rsidRPr="002E2DD0" w:rsidRDefault="0004053C" w:rsidP="00BB444B">
            <w:pPr>
              <w:pStyle w:val="ListParagraph"/>
              <w:numPr>
                <w:ilvl w:val="0"/>
                <w:numId w:val="23"/>
              </w:numPr>
              <w:suppressAutoHyphens w:val="0"/>
              <w:autoSpaceDN/>
              <w:spacing w:after="0" w:line="276" w:lineRule="auto"/>
              <w:rPr>
                <w:rFonts w:eastAsiaTheme="minorEastAsia" w:cs="Arial"/>
                <w:sz w:val="20"/>
                <w:szCs w:val="20"/>
              </w:rPr>
            </w:pPr>
            <w:r w:rsidRPr="002E2DD0">
              <w:rPr>
                <w:rFonts w:eastAsiaTheme="minorEastAsia" w:cs="Arial"/>
                <w:sz w:val="20"/>
                <w:szCs w:val="20"/>
              </w:rPr>
              <w:t>Parental workshop to raise awareness of RWI and the importance of reading.</w:t>
            </w:r>
          </w:p>
          <w:p w14:paraId="7AC419B9" w14:textId="77777777" w:rsidR="0004053C" w:rsidRPr="002E2DD0" w:rsidRDefault="0004053C" w:rsidP="0004053C">
            <w:pPr>
              <w:pStyle w:val="ListParagraph"/>
              <w:numPr>
                <w:ilvl w:val="0"/>
                <w:numId w:val="19"/>
              </w:numPr>
              <w:suppressAutoHyphens w:val="0"/>
              <w:autoSpaceDN/>
              <w:spacing w:after="0" w:line="276" w:lineRule="auto"/>
              <w:rPr>
                <w:rFonts w:eastAsiaTheme="minorEastAsia" w:cs="Arial"/>
                <w:sz w:val="20"/>
                <w:szCs w:val="20"/>
              </w:rPr>
            </w:pPr>
            <w:r w:rsidRPr="002E2DD0">
              <w:rPr>
                <w:rFonts w:eastAsiaTheme="minorEastAsia" w:cs="Arial"/>
                <w:sz w:val="20"/>
                <w:szCs w:val="20"/>
              </w:rPr>
              <w:t>Guidance given for how to support children at home.</w:t>
            </w:r>
          </w:p>
          <w:p w14:paraId="1090F26F" w14:textId="77777777" w:rsidR="0004053C" w:rsidRPr="002E2DD0" w:rsidRDefault="0004053C" w:rsidP="0004053C">
            <w:pPr>
              <w:ind w:left="180"/>
              <w:textAlignment w:val="baseline"/>
              <w:rPr>
                <w:rFonts w:cs="Arial"/>
                <w:sz w:val="20"/>
                <w:szCs w:val="20"/>
              </w:rPr>
            </w:pPr>
          </w:p>
          <w:p w14:paraId="013DBED9" w14:textId="77777777" w:rsidR="0004053C" w:rsidRPr="002E2DD0" w:rsidRDefault="0004053C" w:rsidP="0004053C">
            <w:pPr>
              <w:ind w:left="180"/>
              <w:textAlignment w:val="baseline"/>
              <w:rPr>
                <w:rFonts w:eastAsia="Calibri" w:cs="Arial"/>
                <w:sz w:val="20"/>
                <w:szCs w:val="20"/>
              </w:rPr>
            </w:pPr>
          </w:p>
        </w:tc>
      </w:tr>
      <w:tr w:rsidR="0004053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E30" w14:textId="77777777" w:rsidR="00E73A69" w:rsidRDefault="00E73A69" w:rsidP="008E2D30">
            <w:pPr>
              <w:pStyle w:val="NormalWeb"/>
              <w:rPr>
                <w:rFonts w:ascii="Arial" w:hAnsi="Arial" w:cs="Arial"/>
                <w:color w:val="000000"/>
                <w:sz w:val="20"/>
                <w:szCs w:val="20"/>
              </w:rPr>
            </w:pPr>
            <w:r>
              <w:rPr>
                <w:rFonts w:ascii="Arial" w:hAnsi="Arial" w:cs="Arial"/>
                <w:color w:val="000000"/>
                <w:sz w:val="20"/>
                <w:szCs w:val="20"/>
              </w:rPr>
              <w:t>Extra Curricular Experiences</w:t>
            </w:r>
          </w:p>
          <w:p w14:paraId="2A7D550D" w14:textId="52EEDC49" w:rsidR="0004053C" w:rsidRPr="002E2DD0" w:rsidRDefault="008E2D30" w:rsidP="008E2D30">
            <w:pPr>
              <w:pStyle w:val="NormalWeb"/>
              <w:rPr>
                <w:rFonts w:ascii="Arial" w:hAnsi="Arial" w:cs="Arial"/>
                <w:sz w:val="20"/>
                <w:szCs w:val="20"/>
              </w:rPr>
            </w:pPr>
            <w:r w:rsidRPr="002E2DD0">
              <w:rPr>
                <w:rFonts w:ascii="Arial" w:hAnsi="Arial" w:cs="Arial"/>
                <w:color w:val="000000"/>
                <w:sz w:val="20"/>
                <w:szCs w:val="20"/>
              </w:rPr>
              <w:t>To offer PP pupils a range of extra-curricular and out</w:t>
            </w:r>
            <w:r w:rsidR="00FB5E4F" w:rsidRPr="002E2DD0">
              <w:rPr>
                <w:rFonts w:ascii="Arial" w:hAnsi="Arial" w:cs="Arial"/>
                <w:color w:val="000000"/>
                <w:sz w:val="20"/>
                <w:szCs w:val="20"/>
              </w:rPr>
              <w:t xml:space="preserve"> </w:t>
            </w:r>
            <w:r w:rsidRPr="002E2DD0">
              <w:rPr>
                <w:rFonts w:ascii="Arial" w:hAnsi="Arial" w:cs="Arial"/>
                <w:color w:val="000000"/>
                <w:sz w:val="20"/>
                <w:szCs w:val="20"/>
              </w:rPr>
              <w:t xml:space="preserve">of school cultural experiences, including a </w:t>
            </w:r>
            <w:r w:rsidR="0004053C" w:rsidRPr="002E2DD0">
              <w:rPr>
                <w:rFonts w:ascii="Arial" w:hAnsi="Arial" w:cs="Arial"/>
                <w:sz w:val="20"/>
                <w:szCs w:val="20"/>
              </w:rPr>
              <w:t>range of clubs, visits and visitors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2807" w14:textId="2F795705" w:rsidR="0004053C" w:rsidRPr="002E2DD0" w:rsidRDefault="0004053C" w:rsidP="0004053C">
            <w:pPr>
              <w:pStyle w:val="ListParagraph"/>
              <w:numPr>
                <w:ilvl w:val="0"/>
                <w:numId w:val="18"/>
              </w:numPr>
              <w:suppressAutoHyphens w:val="0"/>
              <w:autoSpaceDN/>
              <w:spacing w:after="0" w:line="240" w:lineRule="auto"/>
              <w:jc w:val="both"/>
              <w:rPr>
                <w:rFonts w:cs="Arial"/>
                <w:sz w:val="20"/>
                <w:szCs w:val="20"/>
              </w:rPr>
            </w:pPr>
            <w:r w:rsidRPr="002E2DD0">
              <w:rPr>
                <w:rFonts w:eastAsia="Calibri" w:cs="Arial"/>
                <w:sz w:val="20"/>
                <w:szCs w:val="20"/>
              </w:rPr>
              <w:t>Astrea Promise show</w:t>
            </w:r>
            <w:r w:rsidR="00032B48">
              <w:rPr>
                <w:rFonts w:eastAsia="Calibri" w:cs="Arial"/>
                <w:sz w:val="20"/>
                <w:szCs w:val="20"/>
              </w:rPr>
              <w:t>s</w:t>
            </w:r>
            <w:r w:rsidRPr="002E2DD0">
              <w:rPr>
                <w:rFonts w:eastAsia="Calibri" w:cs="Arial"/>
                <w:sz w:val="20"/>
                <w:szCs w:val="20"/>
              </w:rPr>
              <w:t xml:space="preserve"> a good uptake of activities in all year groups.</w:t>
            </w:r>
          </w:p>
          <w:p w14:paraId="2515BDA6" w14:textId="77777777" w:rsidR="00FB5E4F" w:rsidRPr="002E2DD0" w:rsidRDefault="0004053C" w:rsidP="00FB5E4F">
            <w:pPr>
              <w:pStyle w:val="ListParagraph"/>
              <w:numPr>
                <w:ilvl w:val="0"/>
                <w:numId w:val="24"/>
              </w:numPr>
              <w:suppressAutoHyphens w:val="0"/>
              <w:autoSpaceDN/>
              <w:spacing w:after="200" w:line="276" w:lineRule="auto"/>
              <w:jc w:val="both"/>
              <w:rPr>
                <w:rFonts w:cs="Arial"/>
                <w:sz w:val="20"/>
                <w:szCs w:val="20"/>
              </w:rPr>
            </w:pPr>
            <w:r w:rsidRPr="002E2DD0">
              <w:rPr>
                <w:rFonts w:cs="Arial"/>
                <w:sz w:val="20"/>
                <w:szCs w:val="20"/>
              </w:rPr>
              <w:t>Regularly monitor uptake of clubs and wider opportunities to ensure all groups of children are accessing (EAL/PP/SEN etc)</w:t>
            </w:r>
            <w:r w:rsidR="00FB5E4F" w:rsidRPr="002E2DD0">
              <w:rPr>
                <w:rFonts w:cs="Arial"/>
                <w:sz w:val="20"/>
                <w:szCs w:val="20"/>
              </w:rPr>
              <w:t xml:space="preserve"> </w:t>
            </w:r>
          </w:p>
          <w:p w14:paraId="649880B6" w14:textId="66E115D2" w:rsidR="00FB5E4F" w:rsidRPr="002E2DD0" w:rsidRDefault="00FB5E4F" w:rsidP="00FB5E4F">
            <w:pPr>
              <w:pStyle w:val="ListParagraph"/>
              <w:numPr>
                <w:ilvl w:val="0"/>
                <w:numId w:val="0"/>
              </w:numPr>
              <w:suppressAutoHyphens w:val="0"/>
              <w:autoSpaceDN/>
              <w:spacing w:after="200" w:line="276" w:lineRule="auto"/>
              <w:ind w:left="720"/>
              <w:jc w:val="both"/>
              <w:rPr>
                <w:rFonts w:cs="Arial"/>
                <w:sz w:val="20"/>
                <w:szCs w:val="20"/>
              </w:rPr>
            </w:pPr>
            <w:r w:rsidRPr="002E2DD0">
              <w:rPr>
                <w:rFonts w:cs="Arial"/>
                <w:sz w:val="20"/>
                <w:szCs w:val="20"/>
              </w:rPr>
              <w:t>Currently 2</w:t>
            </w:r>
            <w:r w:rsidR="00984FC1">
              <w:rPr>
                <w:rFonts w:cs="Arial"/>
                <w:sz w:val="20"/>
                <w:szCs w:val="20"/>
              </w:rPr>
              <w:t>3</w:t>
            </w:r>
            <w:r w:rsidRPr="002E2DD0">
              <w:rPr>
                <w:rFonts w:cs="Arial"/>
                <w:sz w:val="20"/>
                <w:szCs w:val="20"/>
              </w:rPr>
              <w:t>% (1</w:t>
            </w:r>
            <w:r w:rsidR="00984FC1">
              <w:rPr>
                <w:rFonts w:cs="Arial"/>
                <w:sz w:val="20"/>
                <w:szCs w:val="20"/>
              </w:rPr>
              <w:t>3</w:t>
            </w:r>
            <w:r w:rsidRPr="002E2DD0">
              <w:rPr>
                <w:rFonts w:cs="Arial"/>
                <w:sz w:val="20"/>
                <w:szCs w:val="20"/>
              </w:rPr>
              <w:t xml:space="preserve"> children) attend the breakfast club over the week. This is provided free of charge.  </w:t>
            </w:r>
          </w:p>
          <w:p w14:paraId="51237E35" w14:textId="06BC4938" w:rsidR="0004053C" w:rsidRPr="002E2DD0" w:rsidRDefault="00984FC1" w:rsidP="00FB5E4F">
            <w:pPr>
              <w:pStyle w:val="ListParagraph"/>
              <w:numPr>
                <w:ilvl w:val="0"/>
                <w:numId w:val="0"/>
              </w:numPr>
              <w:suppressAutoHyphens w:val="0"/>
              <w:autoSpaceDN/>
              <w:spacing w:after="0" w:line="240" w:lineRule="auto"/>
              <w:ind w:left="720"/>
              <w:rPr>
                <w:rFonts w:eastAsiaTheme="minorEastAsia" w:cs="Arial"/>
                <w:sz w:val="20"/>
                <w:szCs w:val="20"/>
              </w:rPr>
            </w:pPr>
            <w:r>
              <w:rPr>
                <w:rFonts w:cs="Arial"/>
                <w:sz w:val="20"/>
                <w:szCs w:val="20"/>
              </w:rPr>
              <w:t>32</w:t>
            </w:r>
            <w:r w:rsidR="00FB5E4F" w:rsidRPr="002E2DD0">
              <w:rPr>
                <w:rFonts w:cs="Arial"/>
                <w:sz w:val="20"/>
                <w:szCs w:val="20"/>
              </w:rPr>
              <w:t>% (1</w:t>
            </w:r>
            <w:r>
              <w:rPr>
                <w:rFonts w:cs="Arial"/>
                <w:sz w:val="20"/>
                <w:szCs w:val="20"/>
              </w:rPr>
              <w:t>8</w:t>
            </w:r>
            <w:r w:rsidR="00FB5E4F" w:rsidRPr="002E2DD0">
              <w:rPr>
                <w:rFonts w:cs="Arial"/>
                <w:sz w:val="20"/>
                <w:szCs w:val="20"/>
              </w:rPr>
              <w:t xml:space="preserve"> children) have attended after school provision</w:t>
            </w:r>
          </w:p>
          <w:p w14:paraId="5EEE2128" w14:textId="75448418" w:rsidR="0004053C" w:rsidRPr="002E2DD0" w:rsidRDefault="0004053C" w:rsidP="0004053C">
            <w:pPr>
              <w:pStyle w:val="NoSpacing"/>
              <w:numPr>
                <w:ilvl w:val="0"/>
                <w:numId w:val="18"/>
              </w:numPr>
              <w:tabs>
                <w:tab w:val="left" w:pos="705"/>
              </w:tabs>
              <w:jc w:val="both"/>
              <w:rPr>
                <w:rFonts w:ascii="Arial" w:hAnsi="Arial" w:cs="Arial"/>
                <w:sz w:val="20"/>
                <w:szCs w:val="20"/>
              </w:rPr>
            </w:pPr>
            <w:r w:rsidRPr="002E2DD0">
              <w:rPr>
                <w:rFonts w:ascii="Arial" w:eastAsia="Calibri" w:hAnsi="Arial" w:cs="Arial"/>
                <w:sz w:val="20"/>
                <w:szCs w:val="20"/>
              </w:rPr>
              <w:t>Greater links with the community</w:t>
            </w:r>
          </w:p>
          <w:p w14:paraId="466D3D31" w14:textId="77777777" w:rsidR="0004053C" w:rsidRPr="002E2DD0" w:rsidRDefault="0004053C" w:rsidP="0004053C">
            <w:pPr>
              <w:pStyle w:val="ListParagraph"/>
              <w:numPr>
                <w:ilvl w:val="0"/>
                <w:numId w:val="18"/>
              </w:numPr>
              <w:suppressAutoHyphens w:val="0"/>
              <w:autoSpaceDN/>
              <w:spacing w:after="0" w:line="240" w:lineRule="auto"/>
              <w:rPr>
                <w:rFonts w:eastAsiaTheme="minorEastAsia" w:cs="Arial"/>
                <w:sz w:val="20"/>
                <w:szCs w:val="20"/>
              </w:rPr>
            </w:pPr>
            <w:r w:rsidRPr="002E2DD0">
              <w:rPr>
                <w:rFonts w:cs="Arial"/>
                <w:sz w:val="20"/>
                <w:szCs w:val="20"/>
              </w:rPr>
              <w:t>Share our ethos and curriculum with parents and families so that there is a greater buy in to the aims of the school and a better understanding of why education is important.</w:t>
            </w:r>
          </w:p>
          <w:p w14:paraId="2A7D550E" w14:textId="33AE4E5B" w:rsidR="0004053C" w:rsidRPr="002E2DD0" w:rsidRDefault="0004053C" w:rsidP="00436E4E">
            <w:pPr>
              <w:pStyle w:val="NoSpacing"/>
              <w:tabs>
                <w:tab w:val="left" w:pos="705"/>
              </w:tabs>
              <w:ind w:left="720"/>
              <w:jc w:val="both"/>
              <w:rPr>
                <w:sz w:val="20"/>
                <w:szCs w:val="20"/>
              </w:rPr>
            </w:pPr>
          </w:p>
        </w:tc>
      </w:tr>
      <w:tr w:rsidR="0004053C" w14:paraId="64B9AF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EFB0" w14:textId="77777777" w:rsidR="00E73A69" w:rsidRDefault="00E73A69" w:rsidP="00FB5E4F">
            <w:pPr>
              <w:spacing w:after="0"/>
              <w:rPr>
                <w:rFonts w:cs="Arial"/>
                <w:color w:val="000000"/>
                <w:sz w:val="20"/>
                <w:szCs w:val="20"/>
              </w:rPr>
            </w:pPr>
            <w:r>
              <w:rPr>
                <w:rFonts w:cs="Arial"/>
                <w:color w:val="000000"/>
                <w:sz w:val="20"/>
                <w:szCs w:val="20"/>
              </w:rPr>
              <w:t>Speech and Language</w:t>
            </w:r>
          </w:p>
          <w:p w14:paraId="2944277B" w14:textId="2DFC5CDA" w:rsidR="0004053C" w:rsidRPr="002E2DD0" w:rsidRDefault="00FB5E4F" w:rsidP="00FB5E4F">
            <w:pPr>
              <w:spacing w:after="0"/>
              <w:rPr>
                <w:rFonts w:cs="Arial"/>
                <w:sz w:val="20"/>
                <w:szCs w:val="20"/>
              </w:rPr>
            </w:pPr>
            <w:r w:rsidRPr="002E2DD0">
              <w:rPr>
                <w:rFonts w:cs="Arial"/>
                <w:color w:val="000000"/>
                <w:sz w:val="20"/>
                <w:szCs w:val="20"/>
              </w:rPr>
              <w:t>Catch up speech and language intervention to improve the speech and language skills of children in EYFS/Y1/Y2</w:t>
            </w:r>
          </w:p>
          <w:p w14:paraId="0807F76E" w14:textId="77777777" w:rsidR="00FB5E4F" w:rsidRPr="002E2DD0" w:rsidRDefault="00FB5E4F" w:rsidP="0004053C">
            <w:pPr>
              <w:pStyle w:val="TableRow"/>
              <w:rPr>
                <w:rFonts w:cs="Arial"/>
                <w:sz w:val="20"/>
                <w:szCs w:val="20"/>
              </w:rPr>
            </w:pPr>
          </w:p>
          <w:p w14:paraId="1A1BC7C4" w14:textId="77777777" w:rsidR="00FB5E4F" w:rsidRPr="002E2DD0" w:rsidRDefault="00FB5E4F" w:rsidP="0004053C">
            <w:pPr>
              <w:pStyle w:val="TableRow"/>
              <w:rPr>
                <w:rFonts w:cs="Arial"/>
                <w:sz w:val="20"/>
                <w:szCs w:val="20"/>
              </w:rPr>
            </w:pPr>
          </w:p>
          <w:p w14:paraId="4722E8EA" w14:textId="77777777" w:rsidR="00FB5E4F" w:rsidRPr="002E2DD0" w:rsidRDefault="00FB5E4F" w:rsidP="0004053C">
            <w:pPr>
              <w:pStyle w:val="TableRow"/>
              <w:rPr>
                <w:rFonts w:cs="Arial"/>
                <w:sz w:val="20"/>
                <w:szCs w:val="20"/>
              </w:rPr>
            </w:pPr>
          </w:p>
          <w:p w14:paraId="1E0B5A2A" w14:textId="3E39B6B4" w:rsidR="00FB5E4F" w:rsidRPr="002E2DD0" w:rsidRDefault="00FB5E4F" w:rsidP="0004053C">
            <w:pPr>
              <w:pStyle w:val="TableRow"/>
              <w:rPr>
                <w:rFont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6E74" w14:textId="77777777" w:rsidR="00FB5E4F" w:rsidRPr="002E2DD0" w:rsidRDefault="00FB5E4F" w:rsidP="00687E0D">
            <w:pPr>
              <w:pStyle w:val="ListParagraph"/>
              <w:numPr>
                <w:ilvl w:val="0"/>
                <w:numId w:val="19"/>
              </w:numPr>
              <w:spacing w:after="0"/>
              <w:rPr>
                <w:rFonts w:cs="Arial"/>
                <w:sz w:val="20"/>
                <w:szCs w:val="20"/>
              </w:rPr>
            </w:pPr>
            <w:r w:rsidRPr="002E2DD0">
              <w:rPr>
                <w:rFonts w:cs="Arial"/>
                <w:sz w:val="20"/>
                <w:szCs w:val="20"/>
              </w:rPr>
              <w:t xml:space="preserve">Targeted interventions in KS1 show rapid progress within communication and language. </w:t>
            </w:r>
          </w:p>
          <w:p w14:paraId="58AD1378" w14:textId="77777777" w:rsidR="00FB5E4F" w:rsidRPr="002E2DD0" w:rsidRDefault="00FB5E4F" w:rsidP="00687E0D">
            <w:pPr>
              <w:pStyle w:val="ListParagraph"/>
              <w:numPr>
                <w:ilvl w:val="0"/>
                <w:numId w:val="19"/>
              </w:numPr>
              <w:spacing w:after="0"/>
              <w:rPr>
                <w:rFonts w:cs="Arial"/>
                <w:sz w:val="20"/>
                <w:szCs w:val="20"/>
              </w:rPr>
            </w:pPr>
            <w:r w:rsidRPr="002E2DD0">
              <w:rPr>
                <w:rFonts w:cs="Arial"/>
                <w:sz w:val="20"/>
                <w:szCs w:val="20"/>
              </w:rPr>
              <w:t>Screening shows PP children shows progress in oral skills.</w:t>
            </w:r>
          </w:p>
          <w:p w14:paraId="348EC8CA" w14:textId="78A32E47" w:rsidR="0004053C" w:rsidRPr="002E2DD0" w:rsidRDefault="00FB5E4F" w:rsidP="00687E0D">
            <w:pPr>
              <w:pStyle w:val="ListParagraph"/>
              <w:numPr>
                <w:ilvl w:val="0"/>
                <w:numId w:val="19"/>
              </w:numPr>
              <w:suppressAutoHyphens w:val="0"/>
              <w:autoSpaceDN/>
              <w:spacing w:after="0" w:line="240" w:lineRule="auto"/>
              <w:rPr>
                <w:rFonts w:eastAsia="Calibri" w:cs="Arial"/>
                <w:sz w:val="20"/>
                <w:szCs w:val="20"/>
              </w:rPr>
            </w:pPr>
            <w:r w:rsidRPr="002E2DD0">
              <w:rPr>
                <w:rFonts w:cs="Arial"/>
                <w:sz w:val="20"/>
                <w:szCs w:val="20"/>
              </w:rPr>
              <w:t>Tracker to be</w:t>
            </w:r>
            <w:r w:rsidR="0004053C" w:rsidRPr="002E2DD0">
              <w:rPr>
                <w:rFonts w:cs="Arial"/>
                <w:sz w:val="20"/>
                <w:szCs w:val="20"/>
              </w:rPr>
              <w:t xml:space="preserve"> updated and rag rated half termly and shared with SLT and staff.</w:t>
            </w:r>
          </w:p>
        </w:tc>
      </w:tr>
      <w:tr w:rsidR="00BB444B" w14:paraId="005B723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68B48" w14:textId="77777777" w:rsidR="00E73A69" w:rsidRDefault="00E73A69" w:rsidP="00BB444B">
            <w:pPr>
              <w:rPr>
                <w:rFonts w:cs="Arial"/>
                <w:sz w:val="20"/>
                <w:szCs w:val="20"/>
              </w:rPr>
            </w:pPr>
            <w:r>
              <w:rPr>
                <w:rFonts w:cs="Arial"/>
                <w:sz w:val="20"/>
                <w:szCs w:val="20"/>
              </w:rPr>
              <w:t>Attendance</w:t>
            </w:r>
          </w:p>
          <w:p w14:paraId="78083823" w14:textId="7A003B0E" w:rsidR="00BB444B" w:rsidRPr="002E2DD0" w:rsidRDefault="00BB444B" w:rsidP="00BB444B">
            <w:pPr>
              <w:rPr>
                <w:rFonts w:cs="Arial"/>
                <w:sz w:val="20"/>
                <w:szCs w:val="20"/>
              </w:rPr>
            </w:pPr>
            <w:r w:rsidRPr="002E2DD0">
              <w:rPr>
                <w:rFonts w:cs="Arial"/>
                <w:sz w:val="20"/>
                <w:szCs w:val="20"/>
              </w:rPr>
              <w:t xml:space="preserve">Attendance for disadvantaged pupils will improve across school compared to non-disadvantaged pupils </w:t>
            </w:r>
          </w:p>
          <w:p w14:paraId="36BB998A" w14:textId="77777777" w:rsidR="008E2D30" w:rsidRPr="002E2DD0" w:rsidRDefault="008E2D30" w:rsidP="00BB444B">
            <w:pPr>
              <w:rPr>
                <w:rFonts w:cs="Arial"/>
                <w:sz w:val="20"/>
                <w:szCs w:val="20"/>
              </w:rPr>
            </w:pPr>
          </w:p>
          <w:p w14:paraId="0E4FD025" w14:textId="1EEC28C6" w:rsidR="00BB444B" w:rsidRPr="002E2DD0" w:rsidRDefault="00BB444B" w:rsidP="00BB444B">
            <w:pPr>
              <w:pStyle w:val="TableRow"/>
              <w:rPr>
                <w:rFonts w:asciiTheme="minorHAnsi" w:hAnsiTheme="minorHAnsi" w:cstheme="minorHAnsi"/>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C594" w14:textId="77777777" w:rsidR="00687E0D" w:rsidRPr="002E2DD0" w:rsidRDefault="00687E0D" w:rsidP="00687E0D">
            <w:pPr>
              <w:pStyle w:val="ListParagraph"/>
              <w:numPr>
                <w:ilvl w:val="0"/>
                <w:numId w:val="26"/>
              </w:numPr>
              <w:rPr>
                <w:color w:val="000000"/>
                <w:sz w:val="20"/>
                <w:szCs w:val="20"/>
              </w:rPr>
            </w:pPr>
            <w:r w:rsidRPr="002E2DD0">
              <w:rPr>
                <w:color w:val="000000"/>
                <w:sz w:val="20"/>
                <w:szCs w:val="20"/>
              </w:rPr>
              <w:t>The number of persistent absentees to be reduced amongst those pupils eligible for PP.</w:t>
            </w:r>
          </w:p>
          <w:p w14:paraId="7D093656" w14:textId="12436E10" w:rsidR="00687E0D" w:rsidRPr="002E2DD0" w:rsidRDefault="00687E0D" w:rsidP="00687E0D">
            <w:pPr>
              <w:pStyle w:val="ListParagraph"/>
              <w:numPr>
                <w:ilvl w:val="0"/>
                <w:numId w:val="26"/>
              </w:numPr>
              <w:rPr>
                <w:color w:val="000000"/>
                <w:sz w:val="20"/>
                <w:szCs w:val="20"/>
              </w:rPr>
            </w:pPr>
            <w:r w:rsidRPr="002E2DD0">
              <w:rPr>
                <w:color w:val="000000"/>
                <w:sz w:val="20"/>
                <w:szCs w:val="20"/>
              </w:rPr>
              <w:t xml:space="preserve">Improve overall the attendance of PP pupils in order to fall in line with Non-PP pupils. </w:t>
            </w:r>
          </w:p>
          <w:p w14:paraId="26F0D656" w14:textId="1767BE59" w:rsidR="00FB5E4F" w:rsidRPr="002E2DD0" w:rsidRDefault="00FB5E4F" w:rsidP="00BB444B">
            <w:pPr>
              <w:rPr>
                <w:rFonts w:ascii="Calibri" w:eastAsia="Calibri" w:hAnsi="Calibri" w:cs="Calibri"/>
                <w:sz w:val="20"/>
                <w:szCs w:val="20"/>
              </w:rPr>
            </w:pPr>
          </w:p>
        </w:tc>
      </w:tr>
      <w:tr w:rsidR="00994310" w14:paraId="7494370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0D59" w14:textId="77777777" w:rsidR="00E73A69" w:rsidRDefault="00E73A69" w:rsidP="00BB444B">
            <w:pPr>
              <w:rPr>
                <w:rFonts w:cs="Arial"/>
                <w:sz w:val="20"/>
                <w:szCs w:val="20"/>
              </w:rPr>
            </w:pPr>
            <w:r>
              <w:rPr>
                <w:rFonts w:cs="Arial"/>
                <w:sz w:val="20"/>
                <w:szCs w:val="20"/>
              </w:rPr>
              <w:t>Improved Learning Behaviours</w:t>
            </w:r>
          </w:p>
          <w:p w14:paraId="5145FD69" w14:textId="5803021E" w:rsidR="00994310" w:rsidRPr="00994310" w:rsidRDefault="00994310" w:rsidP="00BB444B">
            <w:pPr>
              <w:rPr>
                <w:rFonts w:cs="Arial"/>
                <w:sz w:val="20"/>
                <w:szCs w:val="20"/>
              </w:rPr>
            </w:pPr>
            <w:r w:rsidRPr="00994310">
              <w:rPr>
                <w:rFonts w:cs="Arial"/>
                <w:sz w:val="20"/>
                <w:szCs w:val="20"/>
              </w:rPr>
              <w:lastRenderedPageBreak/>
              <w:t>PP pupils will have improved learning behaviours, social skills, independence and confidence.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E43" w14:textId="6825F3E5" w:rsidR="00994310" w:rsidRPr="00994310" w:rsidRDefault="00994310" w:rsidP="00994310">
            <w:pPr>
              <w:pStyle w:val="ListParagraph"/>
              <w:numPr>
                <w:ilvl w:val="0"/>
                <w:numId w:val="29"/>
              </w:numPr>
              <w:rPr>
                <w:rFonts w:cs="Arial"/>
                <w:sz w:val="20"/>
                <w:szCs w:val="20"/>
              </w:rPr>
            </w:pPr>
            <w:r w:rsidRPr="00994310">
              <w:rPr>
                <w:rFonts w:cs="Arial"/>
                <w:sz w:val="20"/>
                <w:szCs w:val="20"/>
              </w:rPr>
              <w:lastRenderedPageBreak/>
              <w:t xml:space="preserve">Through additional social and emotional support </w:t>
            </w:r>
          </w:p>
          <w:p w14:paraId="051793F8" w14:textId="52A98C32" w:rsidR="00994310" w:rsidRPr="00994310" w:rsidRDefault="00994310" w:rsidP="00994310">
            <w:pPr>
              <w:pStyle w:val="ListParagraph"/>
              <w:numPr>
                <w:ilvl w:val="0"/>
                <w:numId w:val="26"/>
              </w:numPr>
              <w:rPr>
                <w:color w:val="000000"/>
                <w:sz w:val="20"/>
                <w:szCs w:val="20"/>
              </w:rPr>
            </w:pPr>
            <w:r w:rsidRPr="00994310">
              <w:rPr>
                <w:rFonts w:cs="Arial"/>
                <w:sz w:val="20"/>
                <w:szCs w:val="20"/>
              </w:rPr>
              <w:lastRenderedPageBreak/>
              <w:t>Fewer behavioural incidents are logged involving PP pupils.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091EE215" w:rsidR="00E66558" w:rsidRDefault="009D71E8" w:rsidP="00E73A69">
      <w:pPr>
        <w:pStyle w:val="Heading2"/>
        <w:tabs>
          <w:tab w:val="left" w:pos="7440"/>
        </w:tabs>
      </w:pPr>
      <w:r>
        <w:lastRenderedPageBreak/>
        <w:t>Activity in this academic year</w:t>
      </w:r>
      <w:r w:rsidR="00E73A69">
        <w:tab/>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F5C7FC" w:rsidR="00E66558" w:rsidRDefault="009D71E8">
      <w:r>
        <w:t>Budgeted cost: £</w:t>
      </w:r>
      <w:r w:rsidR="00A8589A">
        <w:t>40</w:t>
      </w:r>
      <w:r w:rsidR="0095383A">
        <w:t>,967.50</w:t>
      </w:r>
      <w:r w:rsidR="00483FC5">
        <w:t xml:space="preserve"> </w:t>
      </w:r>
      <w:r w:rsidR="000C50C7">
        <w:t>50</w:t>
      </w:r>
      <w:r w:rsidR="00483FC5">
        <w:t>%</w:t>
      </w:r>
    </w:p>
    <w:tbl>
      <w:tblPr>
        <w:tblW w:w="5078" w:type="pct"/>
        <w:tblLayout w:type="fixed"/>
        <w:tblCellMar>
          <w:left w:w="10" w:type="dxa"/>
          <w:right w:w="10" w:type="dxa"/>
        </w:tblCellMar>
        <w:tblLook w:val="04A0" w:firstRow="1" w:lastRow="0" w:firstColumn="1" w:lastColumn="0" w:noHBand="0" w:noVBand="1"/>
      </w:tblPr>
      <w:tblGrid>
        <w:gridCol w:w="2122"/>
        <w:gridCol w:w="6091"/>
        <w:gridCol w:w="287"/>
        <w:gridCol w:w="1134"/>
      </w:tblGrid>
      <w:tr w:rsidR="00BE7FE0" w14:paraId="2A7D5519" w14:textId="77777777" w:rsidTr="00644278">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C01D1E" w14:textId="2A33D642" w:rsidR="00BE7FE0" w:rsidRDefault="00BE7FE0">
            <w:pPr>
              <w:pStyle w:val="TableHeader"/>
              <w:jc w:val="left"/>
            </w:pPr>
            <w:r>
              <w:t>Activity</w:t>
            </w:r>
          </w:p>
        </w:tc>
        <w:tc>
          <w:tcPr>
            <w:tcW w:w="6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5A8E7234" w:rsidR="00BE7FE0" w:rsidRDefault="00BE7FE0">
            <w:pPr>
              <w:pStyle w:val="TableHeader"/>
              <w:jc w:val="left"/>
            </w:pPr>
            <w:r>
              <w:t>Evidence that supports this approach</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BE7FE0" w:rsidRDefault="00BE7FE0">
            <w:pPr>
              <w:pStyle w:val="TableHeader"/>
              <w:jc w:val="left"/>
            </w:pPr>
            <w:r>
              <w:t>Challenge number(s) addressed</w:t>
            </w:r>
          </w:p>
        </w:tc>
      </w:tr>
      <w:tr w:rsidR="00BE7FE0" w14:paraId="2A7D551D" w14:textId="77777777" w:rsidTr="0064427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DDC2" w14:textId="57666F84" w:rsidR="00BE7FE0" w:rsidRPr="00436E4E" w:rsidRDefault="00BE7FE0" w:rsidP="00BE7FE0">
            <w:pPr>
              <w:pStyle w:val="TableRow"/>
              <w:ind w:left="0"/>
              <w:rPr>
                <w:rFonts w:cs="Arial"/>
                <w:color w:val="000000"/>
                <w:sz w:val="20"/>
                <w:szCs w:val="20"/>
              </w:rPr>
            </w:pPr>
            <w:r w:rsidRPr="00436E4E">
              <w:rPr>
                <w:rFonts w:cs="Arial"/>
                <w:iCs/>
                <w:sz w:val="20"/>
                <w:szCs w:val="20"/>
              </w:rPr>
              <w:t xml:space="preserve">Quality Teaching across the school. </w:t>
            </w:r>
            <w:r w:rsidRPr="00436E4E">
              <w:rPr>
                <w:rFonts w:cs="Arial"/>
                <w:color w:val="000000"/>
                <w:sz w:val="20"/>
                <w:szCs w:val="20"/>
              </w:rPr>
              <w:t>CPD to improve high quality teaching and learning throughout school:</w:t>
            </w:r>
          </w:p>
          <w:p w14:paraId="3C1BBF01" w14:textId="2FEC74F2" w:rsidR="00BE7FE0" w:rsidRPr="00436E4E" w:rsidRDefault="00BE7FE0" w:rsidP="00BE7FE0">
            <w:pPr>
              <w:pStyle w:val="NormalWeb"/>
              <w:rPr>
                <w:rFonts w:ascii="Arial" w:hAnsi="Arial" w:cs="Arial"/>
                <w:color w:val="000000"/>
                <w:sz w:val="20"/>
                <w:szCs w:val="20"/>
              </w:rPr>
            </w:pPr>
            <w:r w:rsidRPr="00436E4E">
              <w:rPr>
                <w:rFonts w:ascii="Arial" w:hAnsi="Arial" w:cs="Arial"/>
                <w:color w:val="000000"/>
                <w:sz w:val="20"/>
                <w:szCs w:val="20"/>
              </w:rPr>
              <w:t>Externally provided programmes to support teaching and learning (see below)</w:t>
            </w:r>
          </w:p>
          <w:p w14:paraId="657DEEE0" w14:textId="77777777" w:rsidR="00675F93" w:rsidRPr="00675F93" w:rsidRDefault="00675F93" w:rsidP="00675F93">
            <w:pPr>
              <w:pStyle w:val="TableRow"/>
              <w:rPr>
                <w:sz w:val="20"/>
                <w:szCs w:val="20"/>
              </w:rPr>
            </w:pPr>
            <w:r w:rsidRPr="00675F93">
              <w:rPr>
                <w:sz w:val="20"/>
                <w:szCs w:val="20"/>
              </w:rPr>
              <w:t>Head Office costs for Astrea support and training courses.</w:t>
            </w:r>
          </w:p>
          <w:p w14:paraId="0A1864E5" w14:textId="5B21BA03" w:rsidR="00BE7FE0" w:rsidRPr="002F1EA9" w:rsidRDefault="00BE7FE0" w:rsidP="00BE7FE0">
            <w:pPr>
              <w:pStyle w:val="NormalWeb"/>
              <w:rPr>
                <w:rFonts w:ascii="Arial" w:hAnsi="Arial" w:cs="Arial"/>
                <w:color w:val="000000"/>
                <w:sz w:val="20"/>
                <w:szCs w:val="20"/>
              </w:rPr>
            </w:pPr>
          </w:p>
          <w:p w14:paraId="1DD497B5" w14:textId="77777777" w:rsidR="00BE7FE0" w:rsidRPr="002F1EA9" w:rsidRDefault="00BE7FE0" w:rsidP="00A3002D">
            <w:pPr>
              <w:shd w:val="clear" w:color="auto" w:fill="FFFFFF" w:themeFill="background1"/>
              <w:rPr>
                <w:rFonts w:cs="Arial"/>
                <w:sz w:val="20"/>
                <w:szCs w:val="20"/>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89F9" w14:textId="5629D4C6" w:rsidR="00BE7FE0" w:rsidRPr="002F1EA9" w:rsidRDefault="007A037A" w:rsidP="00A3002D">
            <w:pPr>
              <w:shd w:val="clear" w:color="auto" w:fill="FFFFFF" w:themeFill="background1"/>
              <w:rPr>
                <w:rFonts w:cs="Arial"/>
                <w:sz w:val="20"/>
                <w:szCs w:val="20"/>
              </w:rPr>
            </w:pPr>
            <w:hyperlink r:id="rId11" w:history="1">
              <w:r w:rsidR="00BE7FE0" w:rsidRPr="002F1EA9">
                <w:rPr>
                  <w:rStyle w:val="Hyperlink"/>
                  <w:rFonts w:cs="Arial"/>
                  <w:sz w:val="20"/>
                  <w:szCs w:val="20"/>
                </w:rPr>
                <w:t>https://sandbox.educationendowmentfoundation.org.uk/guidance-for-teachers/covid-19-resources/best-evidence-on-impact-of-covid-19-on-pupil-attainment</w:t>
              </w:r>
            </w:hyperlink>
            <w:r w:rsidR="00BE7FE0" w:rsidRPr="002F1EA9">
              <w:rPr>
                <w:rFonts w:cs="Arial"/>
                <w:sz w:val="20"/>
                <w:szCs w:val="20"/>
              </w:rPr>
              <w:t xml:space="preserve"> shows that </w:t>
            </w:r>
            <w:r w:rsidR="00BE7FE0" w:rsidRPr="002F1EA9">
              <w:rPr>
                <w:rFonts w:cs="Arial"/>
                <w:color w:val="263238"/>
                <w:sz w:val="20"/>
                <w:szCs w:val="20"/>
                <w:shd w:val="clear" w:color="auto" w:fill="FFFFFF"/>
              </w:rPr>
              <w:t>the attainment gap has grown as a result of national lockdowns. It is therefore more important than ever that school strategies focus on support for disadvantaged pupils.</w:t>
            </w:r>
          </w:p>
          <w:p w14:paraId="22888C80" w14:textId="11CEEB8C" w:rsidR="00BE7FE0" w:rsidRPr="002F1EA9" w:rsidRDefault="007A037A" w:rsidP="00A3002D">
            <w:pPr>
              <w:shd w:val="clear" w:color="auto" w:fill="FFFFFF" w:themeFill="background1"/>
              <w:rPr>
                <w:rFonts w:cs="Arial"/>
                <w:sz w:val="20"/>
                <w:szCs w:val="20"/>
              </w:rPr>
            </w:pPr>
            <w:hyperlink r:id="rId12" w:history="1">
              <w:r w:rsidR="00BE7FE0" w:rsidRPr="002F1EA9">
                <w:rPr>
                  <w:rStyle w:val="Hyperlink"/>
                  <w:rFonts w:cs="Arial"/>
                  <w:sz w:val="20"/>
                  <w:szCs w:val="20"/>
                </w:rPr>
                <w:t>https://www.suttontrust.com/wp-content/uploads/2011/09/2teachers-impact-report-final.pdf</w:t>
              </w:r>
            </w:hyperlink>
            <w:r w:rsidR="00BE7FE0" w:rsidRPr="002F1EA9">
              <w:rPr>
                <w:rFonts w:cs="Arial"/>
                <w:sz w:val="20"/>
                <w:szCs w:val="20"/>
              </w:rPr>
              <w:t xml:space="preserve"> demonstrated a positive impact on outcomes from improving the quality of teaching and learning</w:t>
            </w:r>
          </w:p>
          <w:p w14:paraId="1FD821D6" w14:textId="501CC372" w:rsidR="00BE7FE0" w:rsidRDefault="007A037A" w:rsidP="00A55DC8">
            <w:pPr>
              <w:rPr>
                <w:rFonts w:cs="Arial"/>
                <w:sz w:val="20"/>
                <w:szCs w:val="20"/>
              </w:rPr>
            </w:pPr>
            <w:hyperlink r:id="rId13" w:history="1">
              <w:r w:rsidR="00BE7FE0" w:rsidRPr="002F1EA9">
                <w:rPr>
                  <w:rStyle w:val="Hyperlink"/>
                  <w:rFonts w:cs="Arial"/>
                  <w:sz w:val="20"/>
                  <w:szCs w:val="20"/>
                </w:rPr>
                <w:t>https://www.gov.uk/government/publications/the-pupil-premium-how-schools-are-spending-the-funding-successfully</w:t>
              </w:r>
            </w:hyperlink>
            <w:r w:rsidR="00BE7FE0" w:rsidRPr="002F1EA9">
              <w:rPr>
                <w:rFonts w:cs="Arial"/>
                <w:sz w:val="20"/>
                <w:szCs w:val="20"/>
              </w:rPr>
              <w:t xml:space="preserve"> In line with the research, improving the quality or teaching and learning of disadvantaged pupils improves outcomes.</w:t>
            </w:r>
          </w:p>
          <w:p w14:paraId="7A82C5A7" w14:textId="1BD6A164" w:rsidR="00436E4E" w:rsidRPr="004A6CA9" w:rsidRDefault="007A037A" w:rsidP="00A55DC8">
            <w:pPr>
              <w:rPr>
                <w:rFonts w:cs="Arial"/>
                <w:sz w:val="12"/>
                <w:szCs w:val="20"/>
              </w:rPr>
            </w:pPr>
            <w:hyperlink r:id="rId14" w:history="1">
              <w:r w:rsidR="00436E4E" w:rsidRPr="00436E4E">
                <w:rPr>
                  <w:rStyle w:val="Hyperlink"/>
                  <w:rFonts w:cs="Arial"/>
                  <w:sz w:val="20"/>
                  <w:szCs w:val="20"/>
                </w:rPr>
                <w:t>https://educationendowmentfoundation.org.uk/education-evidence/teaching-learning-toolkit/social-and-emotional-learning?</w:t>
              </w:r>
            </w:hyperlink>
            <w:r w:rsidR="004A6CA9">
              <w:rPr>
                <w:rFonts w:ascii="Helvetica" w:hAnsi="Helvetica" w:cs="Helvetica"/>
                <w:color w:val="263238"/>
                <w:sz w:val="30"/>
                <w:szCs w:val="30"/>
                <w:shd w:val="clear" w:color="auto" w:fill="FFFFFF"/>
              </w:rPr>
              <w:t xml:space="preserve"> </w:t>
            </w:r>
            <w:r w:rsidR="004A6CA9" w:rsidRPr="004A6CA9">
              <w:rPr>
                <w:rFonts w:cs="Arial"/>
                <w:color w:val="263238"/>
                <w:sz w:val="20"/>
                <w:szCs w:val="30"/>
                <w:shd w:val="clear" w:color="auto" w:fill="FFFFFF"/>
              </w:rPr>
              <w:t>Social and emotional learning (SEL) interventions seek to improve pupils’ decision-making skills, interaction with others and their self-management of emotions, rather than focusing directly on the academic or cognitive elements of learning.</w:t>
            </w:r>
          </w:p>
          <w:p w14:paraId="2A7D551B" w14:textId="77777777" w:rsidR="00BE7FE0" w:rsidRPr="002F1EA9" w:rsidRDefault="00BE7FE0">
            <w:pPr>
              <w:pStyle w:val="TableRowCentered"/>
              <w:jc w:val="left"/>
              <w:rPr>
                <w:rFonts w:cs="Arial"/>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621B6F3" w:rsidR="00BE7FE0" w:rsidRDefault="00BE7FE0">
            <w:pPr>
              <w:pStyle w:val="TableRowCentered"/>
              <w:jc w:val="left"/>
              <w:rPr>
                <w:sz w:val="22"/>
              </w:rPr>
            </w:pPr>
            <w:r>
              <w:rPr>
                <w:sz w:val="22"/>
              </w:rPr>
              <w:t>1, 2,3,4,5</w:t>
            </w:r>
          </w:p>
        </w:tc>
      </w:tr>
      <w:tr w:rsidR="00BE7FE0" w14:paraId="2A7D5521" w14:textId="77777777" w:rsidTr="0064427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0E7F" w14:textId="77777777" w:rsidR="00BE7FE0" w:rsidRPr="002F1EA9" w:rsidRDefault="00BE7FE0" w:rsidP="00BE7FE0">
            <w:pPr>
              <w:pStyle w:val="NormalWeb"/>
              <w:rPr>
                <w:rFonts w:ascii="Arial" w:hAnsi="Arial" w:cs="Arial"/>
                <w:color w:val="000000"/>
                <w:sz w:val="20"/>
                <w:szCs w:val="20"/>
              </w:rPr>
            </w:pPr>
            <w:r w:rsidRPr="002F1EA9">
              <w:rPr>
                <w:rFonts w:ascii="Arial" w:hAnsi="Arial" w:cs="Arial"/>
                <w:color w:val="000000"/>
                <w:sz w:val="20"/>
                <w:szCs w:val="20"/>
              </w:rPr>
              <w:t>RWI</w:t>
            </w:r>
          </w:p>
          <w:p w14:paraId="2837E1A6" w14:textId="33E72A0D" w:rsidR="00BE7FE0" w:rsidRPr="002F1EA9" w:rsidRDefault="00BE7FE0" w:rsidP="00BE7FE0">
            <w:pPr>
              <w:pStyle w:val="NormalWeb"/>
              <w:rPr>
                <w:rFonts w:ascii="Arial" w:hAnsi="Arial" w:cs="Arial"/>
                <w:color w:val="000000"/>
                <w:sz w:val="20"/>
                <w:szCs w:val="20"/>
              </w:rPr>
            </w:pPr>
            <w:r w:rsidRPr="002F1EA9">
              <w:rPr>
                <w:rFonts w:ascii="Arial" w:hAnsi="Arial" w:cs="Arial"/>
                <w:color w:val="000000"/>
                <w:sz w:val="20"/>
                <w:szCs w:val="20"/>
              </w:rPr>
              <w:t>Support for phonics KH (RWI)</w:t>
            </w:r>
          </w:p>
          <w:p w14:paraId="464516BB" w14:textId="6F8FC6B2" w:rsidR="002F1EA9" w:rsidRPr="002F1EA9" w:rsidRDefault="002F1EA9" w:rsidP="00BE7FE0">
            <w:pPr>
              <w:pStyle w:val="NormalWeb"/>
              <w:rPr>
                <w:rFonts w:ascii="Arial" w:hAnsi="Arial" w:cs="Arial"/>
                <w:color w:val="000000"/>
                <w:sz w:val="20"/>
                <w:szCs w:val="20"/>
              </w:rPr>
            </w:pPr>
            <w:r w:rsidRPr="002F1EA9">
              <w:rPr>
                <w:rFonts w:ascii="Arial" w:hAnsi="Arial" w:cs="Arial"/>
                <w:color w:val="000000"/>
                <w:sz w:val="20"/>
                <w:szCs w:val="20"/>
              </w:rPr>
              <w:t xml:space="preserve">Phonics lead to support staff </w:t>
            </w:r>
            <w:r w:rsidR="006C4075">
              <w:rPr>
                <w:rFonts w:ascii="Arial" w:hAnsi="Arial" w:cs="Arial"/>
                <w:color w:val="000000"/>
                <w:sz w:val="20"/>
                <w:szCs w:val="20"/>
              </w:rPr>
              <w:t xml:space="preserve">- </w:t>
            </w:r>
            <w:r w:rsidRPr="002F1EA9">
              <w:rPr>
                <w:rFonts w:ascii="Arial" w:hAnsi="Arial" w:cs="Arial"/>
                <w:color w:val="000000"/>
                <w:sz w:val="20"/>
                <w:szCs w:val="20"/>
              </w:rPr>
              <w:t>weekly CPD in place</w:t>
            </w:r>
            <w:r w:rsidR="006C4075">
              <w:rPr>
                <w:rFonts w:ascii="Arial" w:hAnsi="Arial" w:cs="Arial"/>
                <w:color w:val="000000"/>
                <w:sz w:val="20"/>
                <w:szCs w:val="20"/>
              </w:rPr>
              <w:t xml:space="preserve"> for reading teachers. Daily coaching offered</w:t>
            </w:r>
            <w:r w:rsidRPr="002F1EA9">
              <w:rPr>
                <w:rFonts w:ascii="Arial" w:hAnsi="Arial" w:cs="Arial"/>
                <w:color w:val="000000"/>
                <w:sz w:val="20"/>
                <w:szCs w:val="20"/>
              </w:rPr>
              <w:t>.</w:t>
            </w:r>
          </w:p>
          <w:p w14:paraId="47019ECF" w14:textId="77777777" w:rsidR="00BE7FE0" w:rsidRDefault="00675F93" w:rsidP="00A3002D">
            <w:pPr>
              <w:shd w:val="clear" w:color="auto" w:fill="FFFFFF" w:themeFill="background1"/>
              <w:rPr>
                <w:rFonts w:cs="Arial"/>
                <w:sz w:val="20"/>
                <w:szCs w:val="20"/>
              </w:rPr>
            </w:pPr>
            <w:r>
              <w:rPr>
                <w:rFonts w:cs="Arial"/>
                <w:sz w:val="20"/>
                <w:szCs w:val="20"/>
              </w:rPr>
              <w:lastRenderedPageBreak/>
              <w:t>High quality reading books</w:t>
            </w:r>
          </w:p>
          <w:p w14:paraId="6D8F1936" w14:textId="401BD2C5" w:rsidR="00675F93" w:rsidRPr="002F1EA9" w:rsidRDefault="00675F93" w:rsidP="00A3002D">
            <w:pPr>
              <w:shd w:val="clear" w:color="auto" w:fill="FFFFFF" w:themeFill="background1"/>
              <w:rPr>
                <w:rFonts w:cs="Arial"/>
                <w:sz w:val="20"/>
                <w:szCs w:val="20"/>
              </w:rPr>
            </w:pPr>
            <w:r>
              <w:rPr>
                <w:rFonts w:cs="Arial"/>
                <w:sz w:val="20"/>
                <w:szCs w:val="20"/>
              </w:rPr>
              <w:t>RWI books / resources</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0100" w14:textId="7FCCC42E" w:rsidR="00BE7FE0" w:rsidRPr="002F1EA9" w:rsidRDefault="007A037A" w:rsidP="00A3002D">
            <w:pPr>
              <w:shd w:val="clear" w:color="auto" w:fill="FFFFFF" w:themeFill="background1"/>
              <w:rPr>
                <w:rFonts w:cs="Arial"/>
                <w:sz w:val="20"/>
                <w:szCs w:val="20"/>
              </w:rPr>
            </w:pPr>
            <w:hyperlink r:id="rId15" w:anchor="closeSignup" w:history="1">
              <w:r w:rsidR="00BE7FE0" w:rsidRPr="002F1EA9">
                <w:rPr>
                  <w:rStyle w:val="Hyperlink"/>
                  <w:rFonts w:cs="Arial"/>
                  <w:color w:val="0070C0"/>
                  <w:sz w:val="20"/>
                  <w:szCs w:val="20"/>
                </w:rPr>
                <w:t>https://educationendowmentfoundation.org.uk/evidence-summaries/teaching-learning-toolkit/reading-comprehension-strategies/#closeSignup</w:t>
              </w:r>
            </w:hyperlink>
            <w:r w:rsidR="00BE7FE0" w:rsidRPr="002F1EA9">
              <w:rPr>
                <w:rFonts w:cs="Arial"/>
                <w:color w:val="0070C0"/>
                <w:sz w:val="20"/>
                <w:szCs w:val="20"/>
              </w:rPr>
              <w:t xml:space="preserve"> </w:t>
            </w:r>
            <w:r w:rsidR="00BE7FE0" w:rsidRPr="002F1EA9">
              <w:rPr>
                <w:rFonts w:cs="Arial"/>
                <w:sz w:val="20"/>
                <w:szCs w:val="20"/>
              </w:rPr>
              <w:t>demonstrates impact of Reading Comprehension Strategy teaching</w:t>
            </w:r>
          </w:p>
          <w:p w14:paraId="654AF799" w14:textId="77777777" w:rsidR="00436E4E" w:rsidRDefault="007A037A" w:rsidP="00436E4E">
            <w:pPr>
              <w:rPr>
                <w:rFonts w:cs="Arial"/>
                <w:sz w:val="20"/>
                <w:szCs w:val="20"/>
              </w:rPr>
            </w:pPr>
            <w:hyperlink r:id="rId16" w:history="1">
              <w:r w:rsidR="00BE7FE0" w:rsidRPr="002F1EA9">
                <w:rPr>
                  <w:rStyle w:val="Hyperlink"/>
                  <w:rFonts w:cs="Arial"/>
                  <w:sz w:val="20"/>
                  <w:szCs w:val="20"/>
                </w:rPr>
                <w:t>https://educationendowmentfoundation.org.uk/evidence-summaries/teaching-learning-toolkit/oral-language-interventions/</w:t>
              </w:r>
            </w:hyperlink>
            <w:r w:rsidR="00BE7FE0" w:rsidRPr="002F1EA9">
              <w:rPr>
                <w:rFonts w:cs="Arial"/>
                <w:sz w:val="20"/>
                <w:szCs w:val="20"/>
              </w:rPr>
              <w:t xml:space="preserve"> demonstrates the impact of provision of oral language intervention on pupil outcomes</w:t>
            </w:r>
          </w:p>
          <w:p w14:paraId="0429E421" w14:textId="26D8C6AF" w:rsidR="00436E4E" w:rsidRPr="002F1EA9" w:rsidRDefault="007A037A" w:rsidP="00436E4E">
            <w:pPr>
              <w:rPr>
                <w:rFonts w:cs="Arial"/>
                <w:sz w:val="20"/>
                <w:szCs w:val="20"/>
              </w:rPr>
            </w:pPr>
            <w:hyperlink r:id="rId17" w:history="1">
              <w:r w:rsidR="00436E4E" w:rsidRPr="002F1EA9">
                <w:rPr>
                  <w:rStyle w:val="Hyperlink"/>
                  <w:rFonts w:cs="Arial"/>
                  <w:sz w:val="20"/>
                  <w:szCs w:val="20"/>
                </w:rPr>
                <w:t>https://educationendowmentfoundation.org.uk/evidence-summaries/teaching-learning-toolkit/reading-comprehension-</w:t>
              </w:r>
              <w:r w:rsidR="00436E4E" w:rsidRPr="002F1EA9">
                <w:rPr>
                  <w:rStyle w:val="Hyperlink"/>
                  <w:rFonts w:cs="Arial"/>
                  <w:sz w:val="20"/>
                  <w:szCs w:val="20"/>
                </w:rPr>
                <w:lastRenderedPageBreak/>
                <w:t>strategies/</w:t>
              </w:r>
            </w:hyperlink>
            <w:r w:rsidR="00436E4E" w:rsidRPr="002F1EA9">
              <w:rPr>
                <w:rFonts w:cs="Arial"/>
                <w:sz w:val="20"/>
                <w:szCs w:val="20"/>
              </w:rPr>
              <w:t xml:space="preserve"> In-school monitoring demonstrated a need to develop reading comprehension strategies including higher order thinking</w:t>
            </w:r>
          </w:p>
          <w:p w14:paraId="5B35B589" w14:textId="0612519A" w:rsidR="00436E4E" w:rsidRDefault="00436E4E" w:rsidP="002E2DD0">
            <w:pPr>
              <w:shd w:val="clear" w:color="auto" w:fill="FFFFFF" w:themeFill="background1"/>
              <w:rPr>
                <w:rFonts w:cs="Arial"/>
                <w:sz w:val="20"/>
                <w:szCs w:val="20"/>
              </w:rPr>
            </w:pPr>
          </w:p>
          <w:p w14:paraId="07D13B2B" w14:textId="77777777" w:rsidR="00436E4E" w:rsidRDefault="00436E4E" w:rsidP="002E2DD0">
            <w:pPr>
              <w:shd w:val="clear" w:color="auto" w:fill="FFFFFF" w:themeFill="background1"/>
              <w:rPr>
                <w:rFonts w:cs="Arial"/>
                <w:sz w:val="20"/>
                <w:szCs w:val="20"/>
              </w:rPr>
            </w:pPr>
          </w:p>
          <w:p w14:paraId="2A7D551F" w14:textId="597AE87C" w:rsidR="00436E4E" w:rsidRPr="002F1EA9" w:rsidRDefault="00436E4E" w:rsidP="002E2DD0">
            <w:pPr>
              <w:shd w:val="clear" w:color="auto" w:fill="FFFFFF" w:themeFill="background1"/>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65945B" w:rsidR="00BE7FE0" w:rsidRDefault="00BE7FE0" w:rsidP="002E2DD0">
            <w:pPr>
              <w:pStyle w:val="TableRowCentered"/>
              <w:jc w:val="left"/>
              <w:rPr>
                <w:sz w:val="22"/>
              </w:rPr>
            </w:pPr>
            <w:r>
              <w:rPr>
                <w:sz w:val="22"/>
              </w:rPr>
              <w:lastRenderedPageBreak/>
              <w:t>1,</w:t>
            </w:r>
            <w:r w:rsidR="00644278">
              <w:rPr>
                <w:sz w:val="22"/>
              </w:rPr>
              <w:t>2,</w:t>
            </w:r>
            <w:r>
              <w:rPr>
                <w:sz w:val="22"/>
              </w:rPr>
              <w:t>3</w:t>
            </w:r>
          </w:p>
        </w:tc>
      </w:tr>
      <w:tr w:rsidR="002F1EA9" w14:paraId="3A467E6A" w14:textId="77777777" w:rsidTr="0064427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3AAA" w14:textId="7387D889" w:rsidR="002F1EA9" w:rsidRPr="0069299F" w:rsidRDefault="002F1EA9" w:rsidP="00C37B54">
            <w:pPr>
              <w:rPr>
                <w:strike/>
                <w:sz w:val="20"/>
                <w:szCs w:val="20"/>
              </w:rPr>
            </w:pPr>
            <w:r w:rsidRPr="0069299F">
              <w:rPr>
                <w:strike/>
                <w:sz w:val="20"/>
                <w:szCs w:val="20"/>
              </w:rPr>
              <w:t xml:space="preserve">Extra HLTA in Year </w:t>
            </w:r>
            <w:r w:rsidR="006C4075" w:rsidRPr="0069299F">
              <w:rPr>
                <w:strike/>
                <w:sz w:val="20"/>
                <w:szCs w:val="20"/>
              </w:rPr>
              <w:t>5</w:t>
            </w:r>
            <w:r w:rsidRPr="0069299F">
              <w:rPr>
                <w:strike/>
                <w:sz w:val="20"/>
                <w:szCs w:val="20"/>
              </w:rPr>
              <w:t xml:space="preserve"> due to large class size and to take a group to offer more targeted support to low ability children so they can make accelerated progress and work towards closing the gap. </w:t>
            </w:r>
          </w:p>
          <w:p w14:paraId="1DD3DC1A" w14:textId="5B61B77F" w:rsidR="002F1EA9" w:rsidRPr="00C37B54" w:rsidRDefault="002F1EA9" w:rsidP="00C37B54">
            <w:pPr>
              <w:rPr>
                <w:sz w:val="20"/>
                <w:szCs w:val="20"/>
              </w:rPr>
            </w:pPr>
          </w:p>
          <w:p w14:paraId="4EC95BA0" w14:textId="7E6E50B6" w:rsidR="002F1EA9" w:rsidRDefault="002F1EA9" w:rsidP="00C37B54">
            <w:r w:rsidRPr="00C37B54">
              <w:rPr>
                <w:sz w:val="20"/>
                <w:szCs w:val="20"/>
              </w:rPr>
              <w:t>Small group keep up sessions throughout assembly times</w:t>
            </w:r>
            <w:r w:rsidRPr="002F1EA9">
              <w:t xml:space="preserve">. </w:t>
            </w:r>
          </w:p>
          <w:p w14:paraId="691B5472" w14:textId="15BEF8FA" w:rsidR="006C4075" w:rsidRPr="006C4075" w:rsidRDefault="006C4075" w:rsidP="00C37B54">
            <w:pPr>
              <w:rPr>
                <w:sz w:val="20"/>
              </w:rPr>
            </w:pPr>
            <w:r w:rsidRPr="006C4075">
              <w:rPr>
                <w:sz w:val="20"/>
              </w:rPr>
              <w:t>Sharing of resources and support from RW (maths RD) to ensure staff are confident in delivering high quality lessons.</w:t>
            </w:r>
          </w:p>
          <w:p w14:paraId="6246661B" w14:textId="2E3217F6" w:rsidR="002F1EA9" w:rsidRPr="002F1EA9" w:rsidRDefault="002F1EA9" w:rsidP="002F1EA9">
            <w:pPr>
              <w:shd w:val="clear" w:color="auto" w:fill="FFFFFF" w:themeFill="background1"/>
              <w:rPr>
                <w:rFonts w:cs="Arial"/>
                <w:sz w:val="20"/>
                <w:szCs w:val="20"/>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A61F" w14:textId="77777777" w:rsidR="002F1EA9" w:rsidRPr="004A6CA9" w:rsidRDefault="007A037A" w:rsidP="002F1EA9">
            <w:pPr>
              <w:suppressAutoHyphens w:val="0"/>
              <w:autoSpaceDN/>
              <w:spacing w:after="0" w:line="240" w:lineRule="auto"/>
              <w:rPr>
                <w:rFonts w:cs="Arial"/>
                <w:sz w:val="20"/>
                <w:szCs w:val="20"/>
              </w:rPr>
            </w:pPr>
            <w:hyperlink r:id="rId18" w:history="1">
              <w:r w:rsidR="002F1EA9" w:rsidRPr="004A6CA9">
                <w:rPr>
                  <w:rFonts w:cs="Arial"/>
                  <w:color w:val="0000FF"/>
                  <w:sz w:val="20"/>
                  <w:szCs w:val="20"/>
                  <w:u w:val="single"/>
                </w:rPr>
                <w:t>Small group tuition | EEF (educationendowmentfoundation.org.uk)</w:t>
              </w:r>
            </w:hyperlink>
          </w:p>
          <w:p w14:paraId="4833E275" w14:textId="47019A12" w:rsidR="002F1EA9" w:rsidRPr="004A6CA9" w:rsidRDefault="004A6CA9" w:rsidP="002F1EA9">
            <w:pPr>
              <w:suppressAutoHyphens w:val="0"/>
              <w:autoSpaceDN/>
              <w:spacing w:after="0" w:line="240" w:lineRule="auto"/>
              <w:rPr>
                <w:rFonts w:cs="Arial"/>
                <w:sz w:val="20"/>
                <w:szCs w:val="20"/>
              </w:rPr>
            </w:pPr>
            <w:r w:rsidRPr="004A6CA9">
              <w:rPr>
                <w:rFonts w:cs="Arial"/>
                <w:color w:val="263238"/>
                <w:sz w:val="20"/>
                <w:szCs w:val="20"/>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11F126B3" w14:textId="1244FCFB" w:rsidR="004A6CA9" w:rsidRPr="006C4075" w:rsidRDefault="006C4075" w:rsidP="002F1EA9">
            <w:pPr>
              <w:pStyle w:val="NormalWeb"/>
              <w:rPr>
                <w:rFonts w:ascii="Arial" w:hAnsi="Arial" w:cs="Arial"/>
                <w:sz w:val="20"/>
                <w:szCs w:val="20"/>
              </w:rPr>
            </w:pPr>
            <w:r w:rsidRPr="006C4075">
              <w:rPr>
                <w:rFonts w:ascii="Arial" w:hAnsi="Arial" w:cs="Arial"/>
                <w:sz w:val="20"/>
                <w:szCs w:val="20"/>
              </w:rPr>
              <w:t>In the EEF Attainment Gap report, it states that what happens in the classroom makes the biggest difference: improving teaching quality generally leads to greater improvements…There is particularly good evidence around the potential impact of teacher professional development</w:t>
            </w:r>
          </w:p>
          <w:p w14:paraId="3921423E" w14:textId="77777777" w:rsidR="004A6CA9" w:rsidRPr="004A6CA9" w:rsidRDefault="004A6CA9" w:rsidP="002F1EA9">
            <w:pPr>
              <w:pStyle w:val="NormalWeb"/>
              <w:rPr>
                <w:rFonts w:ascii="Arial" w:hAnsi="Arial" w:cs="Arial"/>
                <w:sz w:val="20"/>
                <w:szCs w:val="20"/>
              </w:rPr>
            </w:pPr>
          </w:p>
          <w:p w14:paraId="25E2B7AA" w14:textId="77777777" w:rsidR="004A6CA9" w:rsidRPr="004A6CA9" w:rsidRDefault="004A6CA9" w:rsidP="002F1EA9">
            <w:pPr>
              <w:pStyle w:val="NormalWeb"/>
              <w:rPr>
                <w:rFonts w:ascii="Arial" w:hAnsi="Arial" w:cs="Arial"/>
                <w:sz w:val="20"/>
                <w:szCs w:val="20"/>
              </w:rPr>
            </w:pPr>
          </w:p>
          <w:p w14:paraId="4BC8F265" w14:textId="77777777" w:rsidR="004A6CA9" w:rsidRPr="004A6CA9" w:rsidRDefault="004A6CA9" w:rsidP="002F1EA9">
            <w:pPr>
              <w:pStyle w:val="NormalWeb"/>
              <w:rPr>
                <w:rFonts w:ascii="Arial" w:hAnsi="Arial" w:cs="Arial"/>
                <w:sz w:val="20"/>
                <w:szCs w:val="20"/>
              </w:rPr>
            </w:pPr>
          </w:p>
          <w:p w14:paraId="02274243" w14:textId="1CCFC7F0" w:rsidR="002F1EA9" w:rsidRPr="004A6CA9" w:rsidRDefault="007A037A" w:rsidP="004A6CA9">
            <w:pPr>
              <w:pStyle w:val="NormalWeb"/>
              <w:rPr>
                <w:rFonts w:ascii="Arial" w:hAnsi="Arial" w:cs="Arial"/>
                <w:sz w:val="20"/>
                <w:szCs w:val="20"/>
              </w:rPr>
            </w:pPr>
            <w:hyperlink r:id="rId19" w:history="1">
              <w:r w:rsidR="002F1EA9" w:rsidRPr="004A6CA9">
                <w:rPr>
                  <w:rFonts w:ascii="Arial" w:hAnsi="Arial" w:cs="Arial"/>
                  <w:color w:val="0000FF"/>
                  <w:sz w:val="20"/>
                  <w:szCs w:val="20"/>
                  <w:u w:val="single"/>
                </w:rPr>
                <w:t>Teaching Assistant Interventions | EEF (educationendowmentfoundation.org.uk)</w:t>
              </w:r>
            </w:hyperlink>
            <w:r w:rsidR="004A6CA9" w:rsidRPr="004A6CA9">
              <w:rPr>
                <w:rFonts w:ascii="Arial" w:hAnsi="Arial" w:cs="Arial"/>
                <w:color w:val="263238"/>
                <w:sz w:val="20"/>
                <w:szCs w:val="20"/>
                <w:shd w:val="clear" w:color="auto" w:fill="FFFFFF"/>
              </w:rPr>
              <w:t xml:space="preserve"> The average impact of the deployment of teaching assistants is about an additional four months’ progress over the course of a year.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562" w14:textId="76E49A3A" w:rsidR="002F1EA9" w:rsidRDefault="00644278" w:rsidP="002F1EA9">
            <w:pPr>
              <w:pStyle w:val="TableRowCentered"/>
              <w:jc w:val="left"/>
              <w:rPr>
                <w:sz w:val="22"/>
              </w:rPr>
            </w:pPr>
            <w:r>
              <w:rPr>
                <w:sz w:val="22"/>
              </w:rPr>
              <w:t>1,3,4</w:t>
            </w:r>
          </w:p>
        </w:tc>
      </w:tr>
      <w:tr w:rsidR="002F1EA9" w14:paraId="0CB3F470" w14:textId="77777777" w:rsidTr="0064427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5804" w14:textId="651FF479" w:rsidR="002F1EA9" w:rsidRDefault="00436E4E" w:rsidP="002F1EA9">
            <w:pPr>
              <w:shd w:val="clear" w:color="auto" w:fill="FFFFFF" w:themeFill="background1"/>
              <w:rPr>
                <w:rFonts w:cs="Arial"/>
                <w:sz w:val="20"/>
                <w:szCs w:val="20"/>
              </w:rPr>
            </w:pPr>
            <w:r>
              <w:rPr>
                <w:rFonts w:cs="Arial"/>
                <w:sz w:val="20"/>
                <w:szCs w:val="20"/>
              </w:rPr>
              <w:t>S</w:t>
            </w:r>
            <w:r w:rsidR="002F1EA9" w:rsidRPr="002F1EA9">
              <w:rPr>
                <w:rFonts w:cs="Arial"/>
                <w:sz w:val="20"/>
                <w:szCs w:val="20"/>
              </w:rPr>
              <w:t>upport pupil’s financial access to different educational experiences in order to build self-esteem, resilience, build social interaction skills and in order to prepare them for adult life.</w:t>
            </w:r>
          </w:p>
          <w:p w14:paraId="15F2A63E" w14:textId="77777777" w:rsidR="006C4075" w:rsidRPr="002F1EA9" w:rsidRDefault="006C4075" w:rsidP="002F1EA9">
            <w:pPr>
              <w:shd w:val="clear" w:color="auto" w:fill="FFFFFF" w:themeFill="background1"/>
              <w:rPr>
                <w:rFonts w:cs="Arial"/>
                <w:sz w:val="20"/>
                <w:szCs w:val="20"/>
              </w:rPr>
            </w:pPr>
          </w:p>
          <w:p w14:paraId="3383E34F" w14:textId="77777777" w:rsidR="002F1EA9" w:rsidRPr="002F1EA9" w:rsidRDefault="002F1EA9" w:rsidP="002F1EA9">
            <w:pPr>
              <w:shd w:val="clear" w:color="auto" w:fill="FFFFFF" w:themeFill="background1"/>
              <w:rPr>
                <w:rFonts w:cs="Arial"/>
                <w:sz w:val="20"/>
                <w:szCs w:val="20"/>
              </w:rPr>
            </w:pP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6222" w14:textId="41C812BE" w:rsidR="002F1EA9" w:rsidRPr="002F1EA9" w:rsidRDefault="007A037A" w:rsidP="002F1EA9">
            <w:pPr>
              <w:shd w:val="clear" w:color="auto" w:fill="FFFFFF" w:themeFill="background1"/>
              <w:rPr>
                <w:rFonts w:cs="Arial"/>
                <w:sz w:val="20"/>
                <w:szCs w:val="20"/>
              </w:rPr>
            </w:pPr>
            <w:hyperlink r:id="rId20" w:history="1">
              <w:r w:rsidR="002F1EA9" w:rsidRPr="002F1EA9">
                <w:rPr>
                  <w:rStyle w:val="Hyperlink"/>
                  <w:rFonts w:cs="Arial"/>
                  <w:sz w:val="20"/>
                  <w:szCs w:val="20"/>
                </w:rPr>
                <w:t>http://scholarworks.umass.edu/dissertations/AAI3179892/</w:t>
              </w:r>
            </w:hyperlink>
            <w:r w:rsidR="002F1EA9" w:rsidRPr="002F1EA9">
              <w:rPr>
                <w:rFonts w:cs="Arial"/>
                <w:sz w:val="20"/>
                <w:szCs w:val="20"/>
              </w:rPr>
              <w:t xml:space="preserve"> demonstrates the importance of life experiences on learning.</w:t>
            </w:r>
          </w:p>
          <w:p w14:paraId="39436F1F" w14:textId="77777777" w:rsidR="002F1EA9" w:rsidRPr="002F1EA9" w:rsidRDefault="002F1EA9" w:rsidP="002F1EA9">
            <w:pPr>
              <w:shd w:val="clear" w:color="auto" w:fill="FFFFFF" w:themeFill="background1"/>
              <w:rPr>
                <w:rFonts w:cs="Arial"/>
                <w:sz w:val="20"/>
                <w:szCs w:val="20"/>
              </w:rPr>
            </w:pPr>
          </w:p>
          <w:p w14:paraId="6B0AB7A6" w14:textId="77777777" w:rsidR="002F1EA9" w:rsidRPr="002F1EA9" w:rsidRDefault="007A037A" w:rsidP="002F1EA9">
            <w:pPr>
              <w:shd w:val="clear" w:color="auto" w:fill="FFFFFF" w:themeFill="background1"/>
              <w:rPr>
                <w:rFonts w:cs="Arial"/>
                <w:sz w:val="20"/>
                <w:szCs w:val="20"/>
                <w:highlight w:val="yellow"/>
              </w:rPr>
            </w:pPr>
            <w:hyperlink r:id="rId21" w:history="1">
              <w:r w:rsidR="002F1EA9" w:rsidRPr="002F1EA9">
                <w:rPr>
                  <w:rStyle w:val="Hyperlink"/>
                  <w:rFonts w:cs="Arial"/>
                  <w:sz w:val="20"/>
                  <w:szCs w:val="20"/>
                </w:rPr>
                <w:t>https://educationendowmentfoundation.org.uk/evidence-summaries/teaching-learning-toolkit/behaviour-interventions/</w:t>
              </w:r>
            </w:hyperlink>
            <w:r w:rsidR="002F1EA9" w:rsidRPr="002F1EA9">
              <w:rPr>
                <w:rFonts w:cs="Arial"/>
                <w:sz w:val="20"/>
                <w:szCs w:val="20"/>
              </w:rPr>
              <w:t xml:space="preserve"> demonstrates impact of developing a positive school ethos</w:t>
            </w:r>
          </w:p>
          <w:p w14:paraId="2514F273" w14:textId="77777777" w:rsidR="002F1EA9" w:rsidRPr="002F1EA9" w:rsidRDefault="002F1EA9" w:rsidP="002F1EA9">
            <w:pPr>
              <w:shd w:val="clear" w:color="auto" w:fill="FFFFFF" w:themeFill="background1"/>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F4FA" w14:textId="12025684" w:rsidR="002F1EA9" w:rsidRDefault="002F1EA9" w:rsidP="002F1EA9">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7D632A6" w:rsidR="00E66558" w:rsidRDefault="009D71E8">
      <w:r>
        <w:t xml:space="preserve">Budgeted cost: £ </w:t>
      </w:r>
      <w:r w:rsidRPr="00C00A56">
        <w:rPr>
          <w:i/>
          <w:iCs/>
        </w:rPr>
        <w:t>[</w:t>
      </w:r>
      <w:r w:rsidR="0095383A">
        <w:rPr>
          <w:i/>
          <w:iCs/>
        </w:rPr>
        <w:t>22,122.45</w:t>
      </w:r>
      <w:r w:rsidRPr="00C00A56">
        <w:rPr>
          <w:i/>
          <w:iCs/>
        </w:rPr>
        <w:t>]</w:t>
      </w:r>
      <w:r w:rsidR="00483FC5" w:rsidRPr="00C00A56">
        <w:rPr>
          <w:i/>
          <w:iCs/>
        </w:rPr>
        <w:t xml:space="preserve"> 27%</w:t>
      </w:r>
    </w:p>
    <w:tbl>
      <w:tblPr>
        <w:tblW w:w="5000" w:type="pct"/>
        <w:tblCellMar>
          <w:left w:w="10" w:type="dxa"/>
          <w:right w:w="10" w:type="dxa"/>
        </w:tblCellMar>
        <w:tblLook w:val="04A0" w:firstRow="1" w:lastRow="0" w:firstColumn="1" w:lastColumn="0" w:noHBand="0" w:noVBand="1"/>
      </w:tblPr>
      <w:tblGrid>
        <w:gridCol w:w="2159"/>
        <w:gridCol w:w="5187"/>
        <w:gridCol w:w="2140"/>
      </w:tblGrid>
      <w:tr w:rsidR="00E66558" w14:paraId="2A7D5528" w14:textId="77777777" w:rsidTr="00675F93">
        <w:tc>
          <w:tcPr>
            <w:tcW w:w="21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1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675F93">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A5D9" w14:textId="77777777" w:rsidR="002E2DD0" w:rsidRPr="00994310" w:rsidRDefault="00644278">
            <w:pPr>
              <w:pStyle w:val="TableRow"/>
              <w:rPr>
                <w:iCs/>
                <w:sz w:val="20"/>
                <w:szCs w:val="20"/>
              </w:rPr>
            </w:pPr>
            <w:r w:rsidRPr="00994310">
              <w:rPr>
                <w:iCs/>
                <w:sz w:val="20"/>
                <w:szCs w:val="20"/>
              </w:rPr>
              <w:t>Speech and language intervention – TA led</w:t>
            </w:r>
          </w:p>
          <w:p w14:paraId="2A7D5529" w14:textId="61371D4B" w:rsidR="00E66558" w:rsidRDefault="002E2DD0" w:rsidP="00675F93">
            <w:pPr>
              <w:pStyle w:val="TableRow"/>
            </w:pPr>
            <w:r w:rsidRPr="00994310">
              <w:rPr>
                <w:sz w:val="20"/>
                <w:szCs w:val="20"/>
              </w:rPr>
              <w:t>Fresh start intervention for Y5 and Y6 pupils x 3 sessions per week TA Led</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FAE89" w14:textId="77777777" w:rsidR="002E2DD0" w:rsidRDefault="007A037A" w:rsidP="00644278">
            <w:pPr>
              <w:shd w:val="clear" w:color="auto" w:fill="FFFFFF" w:themeFill="background1"/>
              <w:rPr>
                <w:rFonts w:cs="Arial"/>
                <w:sz w:val="20"/>
                <w:szCs w:val="20"/>
              </w:rPr>
            </w:pPr>
            <w:hyperlink r:id="rId22" w:history="1">
              <w:r w:rsidR="00644278" w:rsidRPr="002F1EA9">
                <w:rPr>
                  <w:rStyle w:val="Hyperlink"/>
                  <w:rFonts w:cs="Arial"/>
                  <w:sz w:val="20"/>
                  <w:szCs w:val="20"/>
                </w:rPr>
                <w:t>https://educationendowmentfoundation.org.uk/evidence-summaries/teaching-learning-toolkit/individualised-instruction/</w:t>
              </w:r>
            </w:hyperlink>
            <w:r w:rsidR="00644278" w:rsidRPr="002F1EA9">
              <w:rPr>
                <w:rFonts w:cs="Arial"/>
                <w:sz w:val="20"/>
                <w:szCs w:val="20"/>
              </w:rPr>
              <w:t xml:space="preserve"> demonstrates the impact of providing individualised instruction for learners</w:t>
            </w:r>
          </w:p>
          <w:p w14:paraId="324C56F9" w14:textId="458F3B04" w:rsidR="002E2DD0" w:rsidRDefault="007A037A" w:rsidP="00644278">
            <w:pPr>
              <w:shd w:val="clear" w:color="auto" w:fill="FFFFFF" w:themeFill="background1"/>
              <w:rPr>
                <w:rStyle w:val="Hyperlink"/>
                <w:rFonts w:cs="Arial"/>
                <w:sz w:val="20"/>
                <w:szCs w:val="20"/>
              </w:rPr>
            </w:pPr>
            <w:hyperlink r:id="rId23" w:history="1">
              <w:r w:rsidR="002E1D73" w:rsidRPr="002E1D73">
                <w:rPr>
                  <w:rStyle w:val="Hyperlink"/>
                  <w:rFonts w:cs="Arial"/>
                  <w:sz w:val="20"/>
                  <w:szCs w:val="20"/>
                </w:rPr>
                <w:t>https://www.ruthmiskin.com/en/programmes/fresh-start/</w:t>
              </w:r>
            </w:hyperlink>
          </w:p>
          <w:p w14:paraId="22D7DBB3" w14:textId="46E141A8" w:rsidR="00B40F18" w:rsidRPr="00483FC5" w:rsidRDefault="00B40F18" w:rsidP="00644278">
            <w:pPr>
              <w:shd w:val="clear" w:color="auto" w:fill="FFFFFF" w:themeFill="background1"/>
              <w:rPr>
                <w:rFonts w:cs="Arial"/>
                <w:sz w:val="16"/>
                <w:szCs w:val="20"/>
              </w:rPr>
            </w:pPr>
            <w:r w:rsidRPr="00483FC5">
              <w:rPr>
                <w:rFonts w:cs="Arial"/>
                <w:color w:val="202124"/>
                <w:sz w:val="20"/>
                <w:shd w:val="clear" w:color="auto" w:fill="FFFFFF"/>
              </w:rPr>
              <w:t>Fresh Start is </w:t>
            </w:r>
            <w:r w:rsidRPr="00483FC5">
              <w:rPr>
                <w:rFonts w:cs="Arial"/>
                <w:bCs/>
                <w:color w:val="202124"/>
                <w:sz w:val="20"/>
                <w:shd w:val="clear" w:color="auto" w:fill="FFFFFF"/>
              </w:rPr>
              <w:t>a successful intervention programme developed by</w:t>
            </w:r>
            <w:r w:rsidRPr="00483FC5">
              <w:rPr>
                <w:rFonts w:cs="Arial"/>
                <w:color w:val="202124"/>
                <w:sz w:val="20"/>
                <w:shd w:val="clear" w:color="auto" w:fill="FFFFFF"/>
              </w:rPr>
              <w:t> Ruth Miskin to rescue pupils age 9 and above who are below age-related expectations</w:t>
            </w:r>
          </w:p>
          <w:p w14:paraId="2A7D552A" w14:textId="77777777" w:rsidR="00E66558" w:rsidRDefault="00E66558" w:rsidP="00644278">
            <w:pPr>
              <w:shd w:val="clear" w:color="auto" w:fill="FFFFFF" w:themeFill="background1"/>
              <w:rPr>
                <w:sz w:val="22"/>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3CDA501" w:rsidR="00E66558" w:rsidRDefault="002E1D73">
            <w:pPr>
              <w:pStyle w:val="TableRowCentered"/>
              <w:jc w:val="left"/>
              <w:rPr>
                <w:sz w:val="22"/>
              </w:rPr>
            </w:pPr>
            <w:r>
              <w:rPr>
                <w:sz w:val="22"/>
              </w:rPr>
              <w:t>2,</w:t>
            </w:r>
            <w:r w:rsidR="002E2DD0">
              <w:rPr>
                <w:sz w:val="22"/>
              </w:rPr>
              <w:t>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1B8652E" w:rsidR="00E66558" w:rsidRPr="00926ACF" w:rsidRDefault="009D71E8">
      <w:pPr>
        <w:spacing w:before="240" w:after="120"/>
        <w:rPr>
          <w:i/>
          <w:iCs/>
        </w:rPr>
      </w:pPr>
      <w:r>
        <w:t xml:space="preserve">Budgeted cost: £ </w:t>
      </w:r>
      <w:r>
        <w:rPr>
          <w:i/>
          <w:iCs/>
        </w:rPr>
        <w:t>[</w:t>
      </w:r>
      <w:r w:rsidR="0095383A">
        <w:rPr>
          <w:i/>
          <w:iCs/>
        </w:rPr>
        <w:t>18,845.05</w:t>
      </w:r>
      <w:r>
        <w:rPr>
          <w:i/>
          <w:iCs/>
        </w:rPr>
        <w:t>]</w:t>
      </w:r>
      <w:r w:rsidR="00483FC5">
        <w:rPr>
          <w:i/>
          <w:iCs/>
        </w:rPr>
        <w:t xml:space="preserve"> </w:t>
      </w:r>
      <w:r w:rsidR="000C50C7">
        <w:rPr>
          <w:i/>
          <w:iCs/>
        </w:rPr>
        <w:t>23%</w:t>
      </w:r>
    </w:p>
    <w:tbl>
      <w:tblPr>
        <w:tblW w:w="5008" w:type="pct"/>
        <w:tblLayout w:type="fixed"/>
        <w:tblCellMar>
          <w:left w:w="10" w:type="dxa"/>
          <w:right w:w="10" w:type="dxa"/>
        </w:tblCellMar>
        <w:tblLook w:val="04A0" w:firstRow="1" w:lastRow="0" w:firstColumn="1" w:lastColumn="0" w:noHBand="0" w:noVBand="1"/>
      </w:tblPr>
      <w:tblGrid>
        <w:gridCol w:w="1696"/>
        <w:gridCol w:w="6577"/>
        <w:gridCol w:w="1228"/>
      </w:tblGrid>
      <w:tr w:rsidR="00675F93" w14:paraId="2A7D5537" w14:textId="77777777" w:rsidTr="183E55B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2DB452C" w14:textId="08BCB557" w:rsidR="00675F93" w:rsidRDefault="00675F93">
            <w:pPr>
              <w:pStyle w:val="TableHeader"/>
              <w:jc w:val="left"/>
            </w:pPr>
            <w:r>
              <w:t>Activity</w:t>
            </w:r>
          </w:p>
        </w:tc>
        <w:tc>
          <w:tcPr>
            <w:tcW w:w="6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46569692" w:rsidR="00675F93" w:rsidRDefault="00675F93">
            <w:pPr>
              <w:pStyle w:val="TableHeader"/>
              <w:jc w:val="left"/>
            </w:pPr>
            <w:r>
              <w:t>Evidence that supports this approach</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675F93" w:rsidRDefault="00675F93">
            <w:pPr>
              <w:pStyle w:val="TableHeader"/>
              <w:jc w:val="left"/>
            </w:pPr>
            <w:r>
              <w:t>Challenge number(s) addressed</w:t>
            </w:r>
          </w:p>
        </w:tc>
      </w:tr>
      <w:tr w:rsidR="006C4075" w14:paraId="4372EAEF" w14:textId="77777777" w:rsidTr="183E55B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2083F" w14:textId="6D276C62" w:rsidR="006C4075" w:rsidRPr="00994310" w:rsidRDefault="006C4075">
            <w:pPr>
              <w:pStyle w:val="TableRow"/>
              <w:rPr>
                <w:iCs/>
                <w:sz w:val="20"/>
                <w:szCs w:val="20"/>
              </w:rPr>
            </w:pPr>
            <w:r>
              <w:rPr>
                <w:iCs/>
                <w:sz w:val="20"/>
                <w:szCs w:val="20"/>
              </w:rPr>
              <w:t xml:space="preserve">Attendance </w:t>
            </w:r>
            <w:r w:rsidRPr="006C4075">
              <w:rPr>
                <w:iCs/>
                <w:sz w:val="20"/>
                <w:szCs w:val="20"/>
              </w:rPr>
              <w:t>Lead /</w:t>
            </w:r>
            <w:r w:rsidRPr="006C4075">
              <w:rPr>
                <w:sz w:val="20"/>
                <w:szCs w:val="20"/>
              </w:rPr>
              <w:t>admin staff to monitor children’s attendance and follow up quickly on absences. First day response provision.</w:t>
            </w:r>
          </w:p>
        </w:tc>
        <w:tc>
          <w:tcPr>
            <w:tcW w:w="6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32D54" w14:textId="0D0197DD" w:rsidR="006C4075" w:rsidRDefault="006C4075" w:rsidP="00644278">
            <w:pPr>
              <w:suppressAutoHyphens w:val="0"/>
              <w:autoSpaceDN/>
              <w:spacing w:after="0" w:line="240" w:lineRule="auto"/>
              <w:rPr>
                <w:rFonts w:eastAsiaTheme="minorHAnsi" w:cs="Arial"/>
                <w:b/>
                <w:color w:val="auto"/>
                <w:sz w:val="18"/>
                <w:szCs w:val="18"/>
                <w:lang w:eastAsia="en-US"/>
              </w:rPr>
            </w:pPr>
            <w:r w:rsidRPr="006C4075">
              <w:rPr>
                <w:sz w:val="20"/>
              </w:rPr>
              <w:t xml:space="preserve">NfER briefing for school leaders identifies addressing attendance as a key step to improving attainment. Good attendance is also listed in the top 10 approaches for </w:t>
            </w:r>
            <w:hyperlink r:id="rId24" w:history="1">
              <w:r w:rsidRPr="006C4075">
                <w:rPr>
                  <w:rStyle w:val="Hyperlink"/>
                  <w:sz w:val="20"/>
                </w:rPr>
                <w:t>disadvantaged children</w:t>
              </w:r>
            </w:hyperlink>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EE48E" w14:textId="77777777" w:rsidR="006C4075" w:rsidRDefault="006C4075">
            <w:pPr>
              <w:pStyle w:val="TableRowCentered"/>
              <w:jc w:val="left"/>
              <w:rPr>
                <w:sz w:val="22"/>
              </w:rPr>
            </w:pPr>
          </w:p>
        </w:tc>
      </w:tr>
      <w:tr w:rsidR="00675F93" w14:paraId="2A7D553B" w14:textId="77777777" w:rsidTr="183E55B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A06E1" w14:textId="77777777" w:rsidR="00675F93" w:rsidRPr="00994310" w:rsidRDefault="00675F93">
            <w:pPr>
              <w:pStyle w:val="TableRow"/>
              <w:rPr>
                <w:iCs/>
                <w:sz w:val="20"/>
                <w:szCs w:val="20"/>
              </w:rPr>
            </w:pPr>
            <w:r w:rsidRPr="00994310">
              <w:rPr>
                <w:iCs/>
                <w:sz w:val="20"/>
                <w:szCs w:val="20"/>
              </w:rPr>
              <w:t>Breakfast club held daily</w:t>
            </w:r>
          </w:p>
          <w:p w14:paraId="66ED289A" w14:textId="35D6A4AE" w:rsidR="00675F93" w:rsidRDefault="00675F93" w:rsidP="00644278">
            <w:pPr>
              <w:suppressAutoHyphens w:val="0"/>
              <w:autoSpaceDN/>
              <w:spacing w:after="0" w:line="240" w:lineRule="auto"/>
              <w:rPr>
                <w:rFonts w:eastAsiaTheme="minorHAnsi" w:cs="Arial"/>
                <w:b/>
                <w:color w:val="auto"/>
                <w:sz w:val="18"/>
                <w:szCs w:val="18"/>
                <w:lang w:eastAsia="en-US"/>
              </w:rPr>
            </w:pPr>
            <w:r w:rsidRPr="00994310">
              <w:rPr>
                <w:iCs/>
                <w:sz w:val="20"/>
                <w:szCs w:val="20"/>
              </w:rPr>
              <w:t>After school activities held daily</w:t>
            </w:r>
          </w:p>
        </w:tc>
        <w:tc>
          <w:tcPr>
            <w:tcW w:w="6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31464" w14:textId="30F94C34" w:rsidR="00675F93" w:rsidRDefault="00675F93" w:rsidP="00644278">
            <w:pPr>
              <w:suppressAutoHyphens w:val="0"/>
              <w:autoSpaceDN/>
              <w:spacing w:after="0" w:line="240" w:lineRule="auto"/>
              <w:rPr>
                <w:rFonts w:eastAsiaTheme="minorHAnsi" w:cs="Arial"/>
                <w:b/>
                <w:color w:val="auto"/>
                <w:sz w:val="18"/>
                <w:szCs w:val="18"/>
                <w:lang w:eastAsia="en-US"/>
              </w:rPr>
            </w:pPr>
            <w:r>
              <w:rPr>
                <w:rFonts w:eastAsiaTheme="minorHAnsi" w:cs="Arial"/>
                <w:b/>
                <w:color w:val="auto"/>
                <w:sz w:val="18"/>
                <w:szCs w:val="18"/>
                <w:lang w:eastAsia="en-US"/>
              </w:rPr>
              <w:t xml:space="preserve">The option is given to all children to attend a variety of afterschool activities. The option also extends to attend the daily breakfast club. </w:t>
            </w:r>
          </w:p>
          <w:p w14:paraId="6A2ECF58" w14:textId="59690968" w:rsidR="00675F93" w:rsidRDefault="00675F93" w:rsidP="00644278">
            <w:pPr>
              <w:suppressAutoHyphens w:val="0"/>
              <w:autoSpaceDN/>
              <w:spacing w:after="0" w:line="240" w:lineRule="auto"/>
              <w:rPr>
                <w:rFonts w:eastAsiaTheme="minorHAnsi" w:cs="Arial"/>
                <w:b/>
                <w:color w:val="auto"/>
                <w:sz w:val="18"/>
                <w:szCs w:val="18"/>
                <w:lang w:eastAsia="en-US"/>
              </w:rPr>
            </w:pPr>
            <w:r>
              <w:rPr>
                <w:rFonts w:eastAsiaTheme="minorHAnsi" w:cs="Arial"/>
                <w:b/>
                <w:color w:val="auto"/>
                <w:sz w:val="18"/>
                <w:szCs w:val="18"/>
                <w:lang w:eastAsia="en-US"/>
              </w:rPr>
              <w:t xml:space="preserve">Many children who do not exceed as well in core subjects may thrive in extra-curricular activities, thus improving their self-esteem, motivation and enthusiasm to attend school regularly. </w:t>
            </w:r>
          </w:p>
          <w:p w14:paraId="4462AF64" w14:textId="77777777" w:rsidR="00675F93" w:rsidRPr="00DF601F" w:rsidRDefault="007A037A" w:rsidP="00644278">
            <w:pPr>
              <w:suppressAutoHyphens w:val="0"/>
              <w:autoSpaceDN/>
              <w:spacing w:after="0" w:line="240" w:lineRule="auto"/>
              <w:rPr>
                <w:rFonts w:eastAsiaTheme="minorHAnsi" w:cs="Arial"/>
                <w:color w:val="0000FF" w:themeColor="hyperlink"/>
                <w:sz w:val="18"/>
                <w:szCs w:val="18"/>
                <w:u w:val="single"/>
                <w:lang w:eastAsia="en-US"/>
              </w:rPr>
            </w:pPr>
            <w:hyperlink r:id="rId25" w:history="1">
              <w:r w:rsidR="00675F93" w:rsidRPr="00DF601F">
                <w:rPr>
                  <w:rFonts w:eastAsiaTheme="minorHAnsi" w:cs="Arial"/>
                  <w:color w:val="0000FF" w:themeColor="hyperlink"/>
                  <w:sz w:val="18"/>
                  <w:szCs w:val="18"/>
                  <w:u w:val="single"/>
                  <w:lang w:eastAsia="en-US"/>
                </w:rPr>
                <w:t>https://www.gov.uk/government/publications/the-pupil-premium-how-schools-are-spending-the-funding-successfully</w:t>
              </w:r>
            </w:hyperlink>
          </w:p>
          <w:p w14:paraId="32C6705E" w14:textId="77777777" w:rsidR="00C628E1" w:rsidRDefault="00C628E1" w:rsidP="00C628E1">
            <w:pPr>
              <w:spacing w:after="0" w:line="240" w:lineRule="auto"/>
              <w:rPr>
                <w:rFonts w:cs="Arial"/>
                <w:sz w:val="20"/>
                <w:szCs w:val="20"/>
              </w:rPr>
            </w:pPr>
            <w:r>
              <w:rPr>
                <w:rFonts w:cs="Arial"/>
                <w:sz w:val="20"/>
                <w:szCs w:val="20"/>
              </w:rPr>
              <w:t>Breakfast Clubs should improve attendance – attending breakfast club means that pupils are on time for school and ready to learn.</w:t>
            </w:r>
          </w:p>
          <w:p w14:paraId="01D1A097" w14:textId="77777777" w:rsidR="00C628E1" w:rsidRDefault="00C628E1" w:rsidP="00C628E1">
            <w:pPr>
              <w:spacing w:after="0" w:line="240" w:lineRule="auto"/>
              <w:rPr>
                <w:rFonts w:cs="Arial"/>
                <w:sz w:val="20"/>
                <w:szCs w:val="20"/>
              </w:rPr>
            </w:pPr>
          </w:p>
          <w:p w14:paraId="18EF78D4" w14:textId="620A7D8C" w:rsidR="00675F93" w:rsidRPr="00DF601F" w:rsidRDefault="00C628E1" w:rsidP="00C628E1">
            <w:pPr>
              <w:suppressAutoHyphens w:val="0"/>
              <w:autoSpaceDN/>
              <w:spacing w:after="0" w:line="240" w:lineRule="auto"/>
              <w:rPr>
                <w:rFonts w:eastAsiaTheme="minorHAnsi" w:cs="Arial"/>
                <w:color w:val="0000FF" w:themeColor="hyperlink"/>
                <w:sz w:val="18"/>
                <w:szCs w:val="18"/>
                <w:u w:val="single"/>
                <w:lang w:eastAsia="en-US"/>
              </w:rPr>
            </w:pPr>
            <w:r w:rsidRPr="00C4741A">
              <w:rPr>
                <w:rFonts w:cs="Arial"/>
                <w:sz w:val="20"/>
                <w:szCs w:val="20"/>
              </w:rPr>
              <w:t>Good attendance is also listed in the top 10 approaches for disadvantaged pupils in</w:t>
            </w:r>
          </w:p>
          <w:p w14:paraId="2A7D5539" w14:textId="35FB2D44" w:rsidR="00675F93" w:rsidRDefault="007A037A" w:rsidP="00644278">
            <w:pPr>
              <w:pStyle w:val="TableRowCentered"/>
              <w:jc w:val="left"/>
              <w:rPr>
                <w:sz w:val="22"/>
              </w:rPr>
            </w:pPr>
            <w:hyperlink r:id="rId26" w:history="1">
              <w:r w:rsidR="00675F93" w:rsidRPr="00DF601F">
                <w:rPr>
                  <w:rFonts w:eastAsiaTheme="minorHAnsi" w:cs="Arial"/>
                  <w:color w:val="0000FF" w:themeColor="hyperlink"/>
                  <w:sz w:val="18"/>
                  <w:szCs w:val="18"/>
                  <w:u w:val="single"/>
                  <w:lang w:eastAsia="en-US"/>
                </w:rPr>
                <w:t>https://educationendowmentfoundation.org.uk/evidence-summaries/teaching-learning-toolkit/arts-participation/</w:t>
              </w:r>
            </w:hyperlink>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2D5705D3" w:rsidR="00675F93" w:rsidRDefault="00675F93">
            <w:pPr>
              <w:pStyle w:val="TableRowCentered"/>
              <w:jc w:val="left"/>
              <w:rPr>
                <w:sz w:val="22"/>
              </w:rPr>
            </w:pPr>
            <w:r>
              <w:rPr>
                <w:sz w:val="22"/>
              </w:rPr>
              <w:lastRenderedPageBreak/>
              <w:t>2,4,5,6</w:t>
            </w:r>
          </w:p>
        </w:tc>
      </w:tr>
      <w:tr w:rsidR="00675F93" w14:paraId="2A7D553F" w14:textId="77777777" w:rsidTr="183E55B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CB634" w14:textId="1A2F532A" w:rsidR="00675F93" w:rsidRDefault="00675F93" w:rsidP="002E2DD0">
            <w:pPr>
              <w:shd w:val="clear" w:color="auto" w:fill="FFFFFF" w:themeFill="background1"/>
              <w:rPr>
                <w:rFonts w:cs="Arial"/>
                <w:sz w:val="20"/>
                <w:szCs w:val="20"/>
              </w:rPr>
            </w:pPr>
            <w:r w:rsidRPr="00994310">
              <w:rPr>
                <w:sz w:val="20"/>
                <w:szCs w:val="20"/>
              </w:rPr>
              <w:t>Thrive Intervention TA Led</w:t>
            </w:r>
          </w:p>
        </w:tc>
        <w:tc>
          <w:tcPr>
            <w:tcW w:w="6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66B3E" w14:textId="333B9841" w:rsidR="00675F93" w:rsidRPr="002E2DD0" w:rsidRDefault="007A037A" w:rsidP="002E2DD0">
            <w:pPr>
              <w:shd w:val="clear" w:color="auto" w:fill="FFFFFF" w:themeFill="background1"/>
              <w:rPr>
                <w:rFonts w:cs="Arial"/>
                <w:sz w:val="20"/>
                <w:szCs w:val="20"/>
              </w:rPr>
            </w:pPr>
            <w:hyperlink r:id="rId27" w:history="1">
              <w:r w:rsidR="00675F93" w:rsidRPr="002E2DD0">
                <w:rPr>
                  <w:rStyle w:val="Hyperlink"/>
                  <w:rFonts w:cs="Arial"/>
                  <w:sz w:val="20"/>
                  <w:szCs w:val="20"/>
                </w:rPr>
                <w:t>https://educationendowmentfoundation.org.uk/education-evidence/teaching-learning-toolkit/social-and-emotional-learning</w:t>
              </w:r>
            </w:hyperlink>
            <w:r w:rsidR="00675F93">
              <w:rPr>
                <w:rFonts w:cs="Arial"/>
                <w:sz w:val="20"/>
                <w:szCs w:val="20"/>
              </w:rPr>
              <w:t xml:space="preserve"> </w:t>
            </w:r>
            <w:r w:rsidR="00675F93" w:rsidRPr="002E2DD0">
              <w:rPr>
                <w:rFonts w:cs="Arial"/>
                <w:color w:val="263238"/>
                <w:sz w:val="20"/>
                <w:szCs w:val="20"/>
                <w:shd w:val="clear" w:color="auto" w:fill="FFFFFF"/>
              </w:rPr>
              <w:t>Social and emotional learning (SEL) interventions seek to improve pupils’ decision-making skills, interaction with others and their self-management of emotions</w:t>
            </w:r>
          </w:p>
          <w:p w14:paraId="2A7D553D" w14:textId="77777777" w:rsidR="00675F93" w:rsidRDefault="00675F93">
            <w:pPr>
              <w:pStyle w:val="TableRowCentered"/>
              <w:jc w:val="left"/>
              <w:rPr>
                <w:sz w:val="22"/>
              </w:rPr>
            </w:pP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66A4BB7" w:rsidR="00675F93" w:rsidRDefault="00675F93">
            <w:pPr>
              <w:pStyle w:val="TableRowCentered"/>
              <w:jc w:val="left"/>
              <w:rPr>
                <w:sz w:val="22"/>
              </w:rPr>
            </w:pPr>
            <w:r>
              <w:rPr>
                <w:sz w:val="22"/>
              </w:rPr>
              <w:t>5,6</w:t>
            </w:r>
          </w:p>
        </w:tc>
      </w:tr>
      <w:tr w:rsidR="00675F93" w14:paraId="74279B55" w14:textId="77777777" w:rsidTr="183E55B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3D9A9" w14:textId="77777777" w:rsidR="00675F93" w:rsidRDefault="00675F93" w:rsidP="00675F93">
            <w:pPr>
              <w:shd w:val="clear" w:color="auto" w:fill="FFFFFF" w:themeFill="background1"/>
              <w:rPr>
                <w:rFonts w:cs="Arial"/>
                <w:sz w:val="20"/>
                <w:szCs w:val="20"/>
              </w:rPr>
            </w:pPr>
            <w:r>
              <w:rPr>
                <w:rFonts w:cs="Arial"/>
                <w:sz w:val="20"/>
                <w:szCs w:val="20"/>
              </w:rPr>
              <w:t xml:space="preserve">Weekly, half termly and annual attendance incentives. </w:t>
            </w:r>
          </w:p>
          <w:p w14:paraId="65A2193C" w14:textId="77777777" w:rsidR="00675F93" w:rsidRDefault="00675F93" w:rsidP="00675F93">
            <w:pPr>
              <w:shd w:val="clear" w:color="auto" w:fill="FFFFFF" w:themeFill="background1"/>
              <w:rPr>
                <w:rFonts w:cs="Arial"/>
                <w:sz w:val="20"/>
                <w:szCs w:val="20"/>
              </w:rPr>
            </w:pPr>
            <w:r>
              <w:rPr>
                <w:rFonts w:cs="Arial"/>
                <w:sz w:val="20"/>
                <w:szCs w:val="20"/>
              </w:rPr>
              <w:t>Class attendance incentives</w:t>
            </w:r>
          </w:p>
          <w:p w14:paraId="16AF01C5" w14:textId="77777777" w:rsidR="00675F93" w:rsidRDefault="00675F93" w:rsidP="00675F93">
            <w:pPr>
              <w:shd w:val="clear" w:color="auto" w:fill="FFFFFF" w:themeFill="background1"/>
              <w:rPr>
                <w:rFonts w:cs="Arial"/>
                <w:sz w:val="20"/>
                <w:szCs w:val="20"/>
              </w:rPr>
            </w:pPr>
            <w:r>
              <w:rPr>
                <w:rFonts w:cs="Arial"/>
                <w:sz w:val="20"/>
                <w:szCs w:val="20"/>
              </w:rPr>
              <w:t xml:space="preserve">Class teachers communicate directly with parents in the first instance. </w:t>
            </w:r>
          </w:p>
          <w:p w14:paraId="3826ADCD" w14:textId="52E3966A" w:rsidR="00675F93" w:rsidRDefault="00675F93" w:rsidP="00675F93">
            <w:pPr>
              <w:shd w:val="clear" w:color="auto" w:fill="FFFFFF" w:themeFill="background1"/>
              <w:rPr>
                <w:rFonts w:cs="Arial"/>
                <w:sz w:val="20"/>
                <w:szCs w:val="20"/>
              </w:rPr>
            </w:pPr>
            <w:r w:rsidRPr="007C4EE9">
              <w:rPr>
                <w:rFonts w:cstheme="minorHAnsi"/>
                <w:sz w:val="18"/>
                <w:szCs w:val="18"/>
              </w:rPr>
              <w:t>School attendance lead to monitor through the use of the weekly tracker</w:t>
            </w:r>
          </w:p>
        </w:tc>
        <w:tc>
          <w:tcPr>
            <w:tcW w:w="6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802EA" w14:textId="69F6B265" w:rsidR="00675F93" w:rsidRDefault="007A037A" w:rsidP="00675F93">
            <w:pPr>
              <w:shd w:val="clear" w:color="auto" w:fill="FFFFFF" w:themeFill="background1"/>
              <w:rPr>
                <w:rFonts w:cs="Arial"/>
                <w:sz w:val="20"/>
                <w:szCs w:val="20"/>
              </w:rPr>
            </w:pPr>
            <w:hyperlink r:id="rId28" w:history="1">
              <w:r w:rsidR="00675F93" w:rsidRPr="002E1D73">
                <w:rPr>
                  <w:rStyle w:val="Hyperlink"/>
                  <w:rFonts w:cs="Arial"/>
                  <w:sz w:val="20"/>
                  <w:szCs w:val="20"/>
                </w:rPr>
                <w:t>https://www.gov.uk/government/publications/school-attendance/framework-for-securing-full-attendance-actions-for-schools-and-local-authorities</w:t>
              </w:r>
            </w:hyperlink>
            <w:r w:rsidR="00675F93">
              <w:rPr>
                <w:rFonts w:cs="Arial"/>
                <w:sz w:val="20"/>
                <w:szCs w:val="20"/>
              </w:rPr>
              <w:t xml:space="preserve">  </w:t>
            </w:r>
            <w:r w:rsidR="00675F93" w:rsidRPr="002E1D73">
              <w:rPr>
                <w:rFonts w:cs="Arial"/>
                <w:sz w:val="20"/>
                <w:szCs w:val="20"/>
              </w:rPr>
              <w:t>g</w:t>
            </w:r>
            <w:r w:rsidR="00675F93" w:rsidRPr="002E1D73">
              <w:rPr>
                <w:rFonts w:cs="Arial"/>
                <w:color w:val="0B0C0C"/>
                <w:sz w:val="20"/>
                <w:szCs w:val="20"/>
                <w:shd w:val="clear" w:color="auto" w:fill="FFFFFF"/>
              </w:rPr>
              <w:t>uidance to schools to support them to improve school attendance.</w:t>
            </w:r>
          </w:p>
          <w:p w14:paraId="3054AD51" w14:textId="77777777" w:rsidR="00675F93" w:rsidRDefault="00675F93" w:rsidP="00675F93">
            <w:pPr>
              <w:shd w:val="clear" w:color="auto" w:fill="FFFFFF" w:themeFill="background1"/>
              <w:rPr>
                <w:rFonts w:cs="Arial"/>
                <w:sz w:val="20"/>
                <w:szCs w:val="20"/>
              </w:rPr>
            </w:pPr>
          </w:p>
          <w:p w14:paraId="3B89BBE4" w14:textId="77777777" w:rsidR="00675F93" w:rsidRDefault="00675F93" w:rsidP="00675F93">
            <w:pPr>
              <w:shd w:val="clear" w:color="auto" w:fill="FFFFFF" w:themeFill="background1"/>
              <w:rPr>
                <w:rFonts w:cs="Arial"/>
                <w:sz w:val="20"/>
                <w:szCs w:val="20"/>
              </w:rPr>
            </w:pPr>
          </w:p>
          <w:p w14:paraId="682862C0" w14:textId="77777777" w:rsidR="00675F93" w:rsidRDefault="00675F93" w:rsidP="00675F93">
            <w:pPr>
              <w:shd w:val="clear" w:color="auto" w:fill="FFFFFF" w:themeFill="background1"/>
              <w:rPr>
                <w:rStyle w:val="Hyperlink"/>
                <w:rFonts w:cs="Arial"/>
                <w:sz w:val="20"/>
                <w:szCs w:val="20"/>
              </w:rPr>
            </w:pPr>
          </w:p>
          <w:p w14:paraId="7061438D" w14:textId="77777777" w:rsidR="00675F93" w:rsidRDefault="00675F93" w:rsidP="00675F93">
            <w:pPr>
              <w:shd w:val="clear" w:color="auto" w:fill="FFFFFF" w:themeFill="background1"/>
              <w:rPr>
                <w:rStyle w:val="Hyperlink"/>
                <w:rFonts w:cs="Arial"/>
                <w:sz w:val="20"/>
                <w:szCs w:val="20"/>
              </w:rPr>
            </w:pPr>
          </w:p>
          <w:p w14:paraId="13AE9BFA" w14:textId="77777777" w:rsidR="00675F93" w:rsidRDefault="00675F93" w:rsidP="00675F93">
            <w:pPr>
              <w:shd w:val="clear" w:color="auto" w:fill="FFFFFF" w:themeFill="background1"/>
              <w:rPr>
                <w:rFonts w:cs="Arial"/>
                <w:sz w:val="20"/>
                <w:szCs w:val="20"/>
              </w:rPr>
            </w:pP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2947F" w14:textId="5E697653" w:rsidR="00675F93" w:rsidRDefault="00675F93" w:rsidP="00675F93">
            <w:pPr>
              <w:pStyle w:val="TableRowCentered"/>
              <w:jc w:val="left"/>
              <w:rPr>
                <w:sz w:val="22"/>
              </w:rPr>
            </w:pPr>
            <w:r>
              <w:rPr>
                <w:sz w:val="22"/>
              </w:rPr>
              <w:t>5</w:t>
            </w:r>
          </w:p>
        </w:tc>
      </w:tr>
      <w:tr w:rsidR="006C4075" w14:paraId="66C13C74" w14:textId="77777777" w:rsidTr="183E55B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A3FE7" w14:textId="7F381DD3" w:rsidR="006C4075" w:rsidRDefault="006C4075" w:rsidP="00675F93">
            <w:pPr>
              <w:shd w:val="clear" w:color="auto" w:fill="FFFFFF" w:themeFill="background1"/>
              <w:rPr>
                <w:sz w:val="20"/>
              </w:rPr>
            </w:pPr>
            <w:r w:rsidRPr="006C4075">
              <w:rPr>
                <w:sz w:val="20"/>
              </w:rPr>
              <w:t>Provide pastoral support</w:t>
            </w:r>
            <w:r w:rsidR="009C741A">
              <w:rPr>
                <w:sz w:val="20"/>
              </w:rPr>
              <w:t xml:space="preserve"> (PSA)</w:t>
            </w:r>
            <w:r w:rsidRPr="006C4075">
              <w:rPr>
                <w:sz w:val="20"/>
              </w:rPr>
              <w:t xml:space="preserve"> tailored to children’s individual needs.</w:t>
            </w:r>
          </w:p>
          <w:p w14:paraId="06CBA14C" w14:textId="77777777" w:rsidR="009C741A" w:rsidRDefault="009C741A" w:rsidP="00675F93">
            <w:pPr>
              <w:shd w:val="clear" w:color="auto" w:fill="FFFFFF" w:themeFill="background1"/>
              <w:rPr>
                <w:sz w:val="20"/>
              </w:rPr>
            </w:pPr>
          </w:p>
          <w:p w14:paraId="1BFFDB0D" w14:textId="77777777" w:rsidR="009C741A" w:rsidRDefault="009C741A" w:rsidP="00675F93">
            <w:pPr>
              <w:shd w:val="clear" w:color="auto" w:fill="FFFFFF" w:themeFill="background1"/>
              <w:rPr>
                <w:sz w:val="20"/>
              </w:rPr>
            </w:pPr>
          </w:p>
          <w:p w14:paraId="0B0ED7D6" w14:textId="23086FC6" w:rsidR="009C741A" w:rsidRDefault="009C741A" w:rsidP="00675F93">
            <w:pPr>
              <w:shd w:val="clear" w:color="auto" w:fill="FFFFFF" w:themeFill="background1"/>
              <w:rPr>
                <w:rFonts w:cs="Arial"/>
                <w:sz w:val="20"/>
                <w:szCs w:val="20"/>
              </w:rPr>
            </w:pPr>
            <w:r w:rsidRPr="009C741A">
              <w:rPr>
                <w:sz w:val="20"/>
              </w:rPr>
              <w:t>Telephone liaison (PSA) with families to provide support where needed.</w:t>
            </w:r>
          </w:p>
        </w:tc>
        <w:tc>
          <w:tcPr>
            <w:tcW w:w="6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E0F43" w14:textId="77777777" w:rsidR="006C4075" w:rsidRDefault="009C741A" w:rsidP="00675F93">
            <w:pPr>
              <w:shd w:val="clear" w:color="auto" w:fill="FFFFFF" w:themeFill="background1"/>
              <w:rPr>
                <w:sz w:val="20"/>
              </w:rPr>
            </w:pPr>
            <w:r w:rsidRPr="009C741A">
              <w:rPr>
                <w:sz w:val="20"/>
              </w:rPr>
              <w:t xml:space="preserve">This approach is in line with research that demonstrates that Social and Emotional Learning interventions have an identifiable and significant impact on attitudes to learning, social relationships in school, and attainment itself, which produces +4 months of progress </w:t>
            </w:r>
            <w:hyperlink r:id="rId29" w:history="1">
              <w:r w:rsidRPr="009C741A">
                <w:rPr>
                  <w:rStyle w:val="Hyperlink"/>
                  <w:sz w:val="20"/>
                </w:rPr>
                <w:t>EEF</w:t>
              </w:r>
            </w:hyperlink>
          </w:p>
          <w:p w14:paraId="0CFF1115" w14:textId="77777777" w:rsidR="009C741A" w:rsidRDefault="009C741A" w:rsidP="00675F93">
            <w:pPr>
              <w:shd w:val="clear" w:color="auto" w:fill="FFFFFF" w:themeFill="background1"/>
              <w:rPr>
                <w:sz w:val="20"/>
              </w:rPr>
            </w:pPr>
          </w:p>
          <w:p w14:paraId="537AE756" w14:textId="0A8F9EEB" w:rsidR="009C741A" w:rsidRDefault="009C741A" w:rsidP="00675F93">
            <w:pPr>
              <w:shd w:val="clear" w:color="auto" w:fill="FFFFFF" w:themeFill="background1"/>
            </w:pPr>
            <w:r w:rsidRPr="009C741A">
              <w:rPr>
                <w:sz w:val="20"/>
              </w:rPr>
              <w:t xml:space="preserve">In the research paper, </w:t>
            </w:r>
            <w:hyperlink r:id="rId30" w:history="1">
              <w:r w:rsidRPr="009C741A">
                <w:rPr>
                  <w:rStyle w:val="Hyperlink"/>
                  <w:sz w:val="20"/>
                </w:rPr>
                <w:t>School cultures and practices: supporting the attainment of disadvantaged pupils:</w:t>
              </w:r>
            </w:hyperlink>
            <w:r w:rsidRPr="009C741A">
              <w:rPr>
                <w:sz w:val="20"/>
              </w:rPr>
              <w:t xml:space="preserve"> A qualitative comparison of London and non-London schools– Dfe May 2018, Engaging Parents (including a dedicated member of staff to provide outreach and support for parents and families) was found to be one of the 5 areas in which school culture and practices influence outcomes, in particular for disadvantaged pupils – corroborating existing research which suggests an association between schools’ engagement with parents and their performance (Sharples et al., 2011).</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9A9BB" w14:textId="77777777" w:rsidR="006C4075" w:rsidRDefault="006C4075" w:rsidP="00675F93">
            <w:pPr>
              <w:pStyle w:val="TableRowCentered"/>
              <w:jc w:val="left"/>
              <w:rPr>
                <w:sz w:val="22"/>
              </w:rPr>
            </w:pPr>
          </w:p>
        </w:tc>
      </w:tr>
    </w:tbl>
    <w:p w14:paraId="6A681218" w14:textId="5D99C61B" w:rsidR="183E55BB" w:rsidRDefault="183E55BB" w:rsidP="183E55BB">
      <w:pPr>
        <w:pStyle w:val="Heading2"/>
        <w:spacing w:before="240" w:after="0"/>
      </w:pPr>
    </w:p>
    <w:p w14:paraId="2A7D5548" w14:textId="2252516E" w:rsidR="00E66558" w:rsidRDefault="009D71E8" w:rsidP="183E55BB">
      <w:pPr>
        <w:pStyle w:val="Heading2"/>
        <w:spacing w:before="240" w:after="0"/>
        <w:rPr>
          <w:bCs/>
          <w:sz w:val="28"/>
          <w:szCs w:val="28"/>
        </w:rPr>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D47D901" w:rsidR="00691D93" w:rsidRPr="006D5851" w:rsidRDefault="00691D93" w:rsidP="00691D93">
            <w:pPr>
              <w:pStyle w:val="NormalWeb"/>
              <w:rPr>
                <w:rFonts w:ascii="Arial" w:hAnsi="Arial" w:cs="Arial"/>
                <w:sz w:val="22"/>
                <w:szCs w:val="22"/>
              </w:rPr>
            </w:pPr>
            <w:r w:rsidRPr="006D5851">
              <w:rPr>
                <w:rFonts w:ascii="Arial" w:hAnsi="Arial" w:cs="Arial"/>
                <w:color w:val="000000"/>
                <w:sz w:val="22"/>
                <w:szCs w:val="22"/>
              </w:rPr>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FDC8E82" w:rsidR="00691D93" w:rsidRPr="006D5851" w:rsidRDefault="00691D93" w:rsidP="006D5851">
            <w:pPr>
              <w:pStyle w:val="TableRowCentered"/>
              <w:jc w:val="left"/>
              <w:rPr>
                <w:rFonts w:cs="Arial"/>
                <w:sz w:val="22"/>
                <w:szCs w:val="22"/>
              </w:rPr>
            </w:pPr>
            <w:r w:rsidRPr="006D5851">
              <w:rPr>
                <w:rFonts w:cs="Arial"/>
                <w:sz w:val="22"/>
                <w:szCs w:val="22"/>
              </w:rPr>
              <w:t>Ruth Miskin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2CACA11" w:rsidR="00E66558" w:rsidRPr="006D5851" w:rsidRDefault="00691D93" w:rsidP="00691D93">
            <w:pPr>
              <w:pStyle w:val="NormalWeb"/>
              <w:rPr>
                <w:rFonts w:ascii="Arial" w:hAnsi="Arial" w:cs="Arial"/>
                <w:sz w:val="22"/>
                <w:szCs w:val="22"/>
              </w:rPr>
            </w:pPr>
            <w:r w:rsidRPr="006D5851">
              <w:rPr>
                <w:rFonts w:ascii="Arial" w:hAnsi="Arial" w:cs="Arial"/>
                <w:color w:val="000000"/>
                <w:sz w:val="22"/>
                <w:szCs w:val="22"/>
              </w:rPr>
              <w:t>Primary KC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1FB3188" w:rsidR="00E66558" w:rsidRPr="006D5851" w:rsidRDefault="00691D93" w:rsidP="006D5851">
            <w:pPr>
              <w:pStyle w:val="TableRowCentered"/>
              <w:jc w:val="left"/>
              <w:rPr>
                <w:rFonts w:cs="Arial"/>
                <w:sz w:val="22"/>
                <w:szCs w:val="22"/>
              </w:rPr>
            </w:pPr>
            <w:r w:rsidRPr="006D5851">
              <w:rPr>
                <w:rFonts w:cs="Arial"/>
                <w:color w:val="000000"/>
                <w:sz w:val="22"/>
                <w:szCs w:val="22"/>
              </w:rPr>
              <w:t>Knowledge Schools Trust</w:t>
            </w:r>
          </w:p>
        </w:tc>
      </w:tr>
      <w:tr w:rsidR="00691D93" w14:paraId="5169721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B9FA" w14:textId="6DBD4BBD" w:rsidR="00691D93" w:rsidRPr="006D5851" w:rsidRDefault="00691D93" w:rsidP="00691D93">
            <w:pPr>
              <w:pStyle w:val="NormalWeb"/>
              <w:rPr>
                <w:rFonts w:ascii="Arial" w:hAnsi="Arial" w:cs="Arial"/>
                <w:color w:val="000000"/>
                <w:sz w:val="22"/>
                <w:szCs w:val="22"/>
              </w:rPr>
            </w:pPr>
            <w:r w:rsidRPr="006D5851">
              <w:rPr>
                <w:rFonts w:ascii="Arial" w:hAnsi="Arial" w:cs="Arial"/>
                <w:color w:val="000000"/>
                <w:sz w:val="22"/>
                <w:szCs w:val="22"/>
              </w:rPr>
              <w:t>Charanga Music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AD12" w14:textId="6D631C59" w:rsidR="00691D93" w:rsidRPr="006D5851" w:rsidRDefault="00691D93">
            <w:pPr>
              <w:pStyle w:val="TableRowCentered"/>
              <w:jc w:val="left"/>
              <w:rPr>
                <w:rFonts w:cs="Arial"/>
                <w:sz w:val="22"/>
                <w:szCs w:val="22"/>
              </w:rPr>
            </w:pPr>
            <w:r w:rsidRPr="006D5851">
              <w:rPr>
                <w:rFonts w:cs="Arial"/>
                <w:color w:val="000000"/>
                <w:sz w:val="22"/>
                <w:szCs w:val="22"/>
              </w:rPr>
              <w:t>Charanga</w:t>
            </w:r>
          </w:p>
        </w:tc>
      </w:tr>
      <w:tr w:rsidR="00691D93" w14:paraId="011F9E5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8355" w14:textId="7917DC92" w:rsidR="00691D93" w:rsidRPr="006D5851" w:rsidRDefault="00691D93" w:rsidP="00691D93">
            <w:pPr>
              <w:pStyle w:val="NormalWeb"/>
              <w:rPr>
                <w:rFonts w:ascii="Arial" w:hAnsi="Arial" w:cs="Arial"/>
                <w:color w:val="000000"/>
                <w:sz w:val="22"/>
                <w:szCs w:val="22"/>
              </w:rPr>
            </w:pPr>
            <w:r w:rsidRPr="006D5851">
              <w:rPr>
                <w:rFonts w:ascii="Arial" w:hAnsi="Arial" w:cs="Arial"/>
                <w:sz w:val="22"/>
                <w:szCs w:val="22"/>
              </w:rPr>
              <w:t>Number sense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082D" w14:textId="2EEA2D75" w:rsidR="00691D93" w:rsidRPr="006D5851" w:rsidRDefault="00B40F18">
            <w:pPr>
              <w:pStyle w:val="TableRowCentered"/>
              <w:jc w:val="left"/>
              <w:rPr>
                <w:rFonts w:cs="Arial"/>
                <w:sz w:val="22"/>
                <w:szCs w:val="22"/>
              </w:rPr>
            </w:pPr>
            <w:r>
              <w:rPr>
                <w:rFonts w:cs="Arial"/>
                <w:sz w:val="22"/>
                <w:szCs w:val="22"/>
              </w:rPr>
              <w:t>Success@number</w:t>
            </w:r>
          </w:p>
        </w:tc>
      </w:tr>
      <w:tr w:rsidR="00691D93" w14:paraId="5151B8B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6A6C" w14:textId="6490257D" w:rsidR="00691D93" w:rsidRPr="009077E0" w:rsidRDefault="00691D93" w:rsidP="00691D93">
            <w:pPr>
              <w:pStyle w:val="NormalWeb"/>
              <w:rPr>
                <w:rFonts w:ascii="Arial" w:hAnsi="Arial" w:cs="Arial"/>
                <w:sz w:val="22"/>
                <w:szCs w:val="22"/>
              </w:rPr>
            </w:pPr>
            <w:r w:rsidRPr="009077E0">
              <w:rPr>
                <w:rFonts w:ascii="Arial" w:hAnsi="Arial" w:cs="Arial"/>
                <w:sz w:val="22"/>
                <w:szCs w:val="22"/>
              </w:rP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BA767" w14:textId="7C53C8DC" w:rsidR="00691D93" w:rsidRPr="006D5851" w:rsidRDefault="00A55DC8">
            <w:pPr>
              <w:pStyle w:val="TableRowCentered"/>
              <w:jc w:val="left"/>
              <w:rPr>
                <w:rFonts w:cs="Arial"/>
                <w:sz w:val="22"/>
                <w:szCs w:val="22"/>
              </w:rPr>
            </w:pPr>
            <w:r w:rsidRPr="006D5851">
              <w:rPr>
                <w:rFonts w:cs="Arial"/>
                <w:sz w:val="22"/>
                <w:szCs w:val="22"/>
              </w:rPr>
              <w:t>Maths Circle</w:t>
            </w:r>
          </w:p>
        </w:tc>
      </w:tr>
      <w:tr w:rsidR="00691D93" w14:paraId="5C6819B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01E5" w14:textId="0C2ED236" w:rsidR="00691D93" w:rsidRPr="006D5851" w:rsidRDefault="00691D93" w:rsidP="00691D93">
            <w:pPr>
              <w:pStyle w:val="NormalWeb"/>
              <w:rPr>
                <w:rFonts w:ascii="Arial" w:hAnsi="Arial" w:cs="Arial"/>
                <w:sz w:val="22"/>
                <w:szCs w:val="22"/>
              </w:rPr>
            </w:pPr>
            <w:r w:rsidRPr="006D5851">
              <w:rPr>
                <w:rFonts w:ascii="Arial" w:hAnsi="Arial" w:cs="Arial"/>
                <w:sz w:val="22"/>
                <w:szCs w:val="22"/>
              </w:rPr>
              <w:t>Literacy Tree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992F8" w14:textId="174476ED" w:rsidR="00691D93" w:rsidRPr="006D5851" w:rsidRDefault="00B40F18">
            <w:pPr>
              <w:pStyle w:val="TableRowCentered"/>
              <w:jc w:val="left"/>
              <w:rPr>
                <w:rFonts w:cs="Arial"/>
                <w:sz w:val="22"/>
                <w:szCs w:val="22"/>
              </w:rPr>
            </w:pPr>
            <w:r>
              <w:rPr>
                <w:rFonts w:cs="Arial"/>
                <w:sz w:val="22"/>
                <w:szCs w:val="22"/>
              </w:rPr>
              <w:t>Literacy Curriculum</w:t>
            </w:r>
          </w:p>
        </w:tc>
      </w:tr>
      <w:tr w:rsidR="00681E82" w14:paraId="0F9094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116B" w14:textId="7C136D10" w:rsidR="00681E82" w:rsidRPr="006D5851" w:rsidRDefault="00681E82" w:rsidP="00691D93">
            <w:pPr>
              <w:pStyle w:val="NormalWeb"/>
              <w:rPr>
                <w:rFonts w:ascii="Arial" w:hAnsi="Arial" w:cs="Arial"/>
                <w:sz w:val="22"/>
                <w:szCs w:val="22"/>
              </w:rPr>
            </w:pPr>
            <w:r>
              <w:rPr>
                <w:rFonts w:ascii="Arial" w:hAnsi="Arial" w:cs="Arial"/>
                <w:sz w:val="22"/>
                <w:szCs w:val="22"/>
              </w:rPr>
              <w:t>Ark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0A51" w14:textId="77777777" w:rsidR="00681E82" w:rsidRDefault="00681E82">
            <w:pPr>
              <w:pStyle w:val="TableRowCentered"/>
              <w:jc w:val="left"/>
              <w:rPr>
                <w:rFonts w:cs="Arial"/>
                <w:sz w:val="22"/>
                <w:szCs w:val="22"/>
              </w:rPr>
            </w:pPr>
          </w:p>
        </w:tc>
      </w:tr>
      <w:tr w:rsidR="00225494" w14:paraId="1100F8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B156" w14:textId="7F3F7D01" w:rsidR="00225494" w:rsidRDefault="00225494" w:rsidP="00691D93">
            <w:pPr>
              <w:pStyle w:val="NormalWeb"/>
              <w:rPr>
                <w:rFonts w:ascii="Arial" w:hAnsi="Arial" w:cs="Arial"/>
                <w:sz w:val="22"/>
                <w:szCs w:val="22"/>
              </w:rPr>
            </w:pPr>
            <w:r>
              <w:rPr>
                <w:rFonts w:ascii="Arial" w:hAnsi="Arial" w:cs="Arial"/>
                <w:sz w:val="22"/>
                <w:szCs w:val="22"/>
              </w:rPr>
              <w:t>Sumdog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E572" w14:textId="77777777" w:rsidR="00225494" w:rsidRDefault="00225494">
            <w:pPr>
              <w:pStyle w:val="TableRowCentered"/>
              <w:jc w:val="left"/>
              <w:rPr>
                <w:rFonts w:cs="Arial"/>
                <w:sz w:val="22"/>
                <w:szCs w:val="22"/>
              </w:rPr>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D1C9" w14:textId="4D7BF725" w:rsidR="0060595C" w:rsidRPr="004E26B0" w:rsidRDefault="0060595C" w:rsidP="0060595C">
            <w:pPr>
              <w:shd w:val="clear" w:color="auto" w:fill="FFFFFF"/>
              <w:suppressAutoHyphens w:val="0"/>
              <w:autoSpaceDN/>
              <w:spacing w:after="0" w:line="240" w:lineRule="auto"/>
              <w:rPr>
                <w:rFonts w:ascii="Calibri" w:hAnsi="Calibri" w:cs="Calibri"/>
                <w:color w:val="201F1E"/>
                <w:sz w:val="22"/>
                <w:szCs w:val="22"/>
              </w:rPr>
            </w:pPr>
            <w:r w:rsidRPr="004E26B0">
              <w:rPr>
                <w:rFonts w:ascii="Calibri" w:hAnsi="Calibri" w:cs="Calibri"/>
                <w:color w:val="201F1E"/>
                <w:sz w:val="22"/>
                <w:szCs w:val="22"/>
              </w:rPr>
              <w:t>Phonics intervention, fine motor skill, power of 2 Maths, IDL and and reading fluency.</w:t>
            </w:r>
          </w:p>
          <w:p w14:paraId="53ADF837" w14:textId="48D18C0C" w:rsidR="0060595C" w:rsidRPr="004E26B0" w:rsidRDefault="0060595C" w:rsidP="0060595C">
            <w:pPr>
              <w:shd w:val="clear" w:color="auto" w:fill="FFFFFF"/>
              <w:suppressAutoHyphens w:val="0"/>
              <w:autoSpaceDN/>
              <w:spacing w:after="0" w:line="240" w:lineRule="auto"/>
              <w:rPr>
                <w:rFonts w:ascii="Calibri" w:hAnsi="Calibri" w:cs="Calibri"/>
                <w:color w:val="201F1E"/>
                <w:sz w:val="22"/>
                <w:szCs w:val="22"/>
              </w:rPr>
            </w:pPr>
            <w:r w:rsidRPr="004E26B0">
              <w:rPr>
                <w:rFonts w:ascii="Calibri" w:hAnsi="Calibri" w:cs="Calibri"/>
                <w:color w:val="201F1E"/>
                <w:sz w:val="22"/>
                <w:szCs w:val="22"/>
              </w:rPr>
              <w:t xml:space="preserve">This term she has fresh start, fine motor skills, power of 2, IDL, reading fluency and success at arithmetic. Daily check-ins with designated TA. </w:t>
            </w:r>
          </w:p>
          <w:p w14:paraId="2A7D5559" w14:textId="1D3DA07F" w:rsidR="00E66558" w:rsidRPr="00681E82" w:rsidRDefault="00E66558">
            <w:pPr>
              <w:pStyle w:val="TableRowCentered"/>
              <w:jc w:val="left"/>
              <w:rPr>
                <w:highlight w:val="yellow"/>
              </w:rPr>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C31C" w14:textId="77777777" w:rsidR="00E66558" w:rsidRPr="00225494" w:rsidRDefault="00225494" w:rsidP="00FC595D">
            <w:pPr>
              <w:pStyle w:val="TableRowCentered"/>
              <w:ind w:left="0"/>
              <w:jc w:val="left"/>
              <w:rPr>
                <w:sz w:val="20"/>
              </w:rPr>
            </w:pPr>
            <w:r w:rsidRPr="00225494">
              <w:rPr>
                <w:sz w:val="20"/>
              </w:rPr>
              <w:t>End of KS2 – EXS in reading</w:t>
            </w:r>
          </w:p>
          <w:p w14:paraId="3EC11232" w14:textId="358FE475" w:rsidR="00225494" w:rsidRPr="00225494" w:rsidRDefault="00225494" w:rsidP="00FC595D">
            <w:pPr>
              <w:pStyle w:val="TableRowCentered"/>
              <w:ind w:left="0"/>
              <w:jc w:val="left"/>
              <w:rPr>
                <w:sz w:val="20"/>
              </w:rPr>
            </w:pPr>
            <w:r w:rsidRPr="00225494">
              <w:rPr>
                <w:sz w:val="20"/>
              </w:rPr>
              <w:t>WTS – writing</w:t>
            </w:r>
          </w:p>
          <w:p w14:paraId="2A7D555C" w14:textId="20F3B6F3" w:rsidR="00225494" w:rsidRPr="00681E82" w:rsidRDefault="00225494" w:rsidP="00FC595D">
            <w:pPr>
              <w:pStyle w:val="TableRowCentered"/>
              <w:ind w:left="0"/>
              <w:jc w:val="left"/>
              <w:rPr>
                <w:highlight w:val="yellow"/>
              </w:rPr>
            </w:pPr>
            <w:r w:rsidRPr="00225494">
              <w:rPr>
                <w:sz w:val="20"/>
              </w:rPr>
              <w:t>PKS - maths</w:t>
            </w:r>
          </w:p>
        </w:tc>
      </w:tr>
      <w:bookmarkEnd w:id="14"/>
      <w:bookmarkEnd w:id="15"/>
      <w:bookmarkEnd w:id="16"/>
      <w:bookmarkEnd w:id="17"/>
    </w:tbl>
    <w:p w14:paraId="05F2200A" w14:textId="7C8F51F7" w:rsidR="0097750F" w:rsidRPr="0097750F" w:rsidRDefault="0097750F" w:rsidP="0097750F"/>
    <w:tbl>
      <w:tblPr>
        <w:tblpPr w:leftFromText="180" w:rightFromText="180" w:vertAnchor="page" w:horzAnchor="margin" w:tblpY="661"/>
        <w:tblW w:w="9486" w:type="dxa"/>
        <w:tblCellMar>
          <w:left w:w="10" w:type="dxa"/>
          <w:right w:w="10" w:type="dxa"/>
        </w:tblCellMar>
        <w:tblLook w:val="04A0" w:firstRow="1" w:lastRow="0" w:firstColumn="1" w:lastColumn="0" w:noHBand="0" w:noVBand="1"/>
      </w:tblPr>
      <w:tblGrid>
        <w:gridCol w:w="9486"/>
      </w:tblGrid>
      <w:tr w:rsidR="000661CE" w14:paraId="4568B7A3" w14:textId="77777777" w:rsidTr="000661CE">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ABF0" w14:textId="77777777" w:rsidR="000661CE" w:rsidRDefault="000661CE" w:rsidP="000661CE">
            <w:pPr>
              <w:spacing w:before="120" w:after="120"/>
              <w:rPr>
                <w:i/>
                <w:iCs/>
              </w:rPr>
            </w:pPr>
          </w:p>
          <w:tbl>
            <w:tblPr>
              <w:tblpPr w:leftFromText="180" w:rightFromText="180" w:vertAnchor="text" w:horzAnchor="page" w:tblpX="1495" w:tblpY="-115"/>
              <w:tblOverlap w:val="never"/>
              <w:tblW w:w="9265" w:type="dxa"/>
              <w:tblCellMar>
                <w:top w:w="15" w:type="dxa"/>
                <w:bottom w:w="15" w:type="dxa"/>
              </w:tblCellMar>
              <w:tblLook w:val="04A0" w:firstRow="1" w:lastRow="0" w:firstColumn="1" w:lastColumn="0" w:noHBand="0" w:noVBand="1"/>
            </w:tblPr>
            <w:tblGrid>
              <w:gridCol w:w="3309"/>
              <w:gridCol w:w="1083"/>
              <w:gridCol w:w="550"/>
              <w:gridCol w:w="550"/>
              <w:gridCol w:w="784"/>
              <w:gridCol w:w="550"/>
              <w:gridCol w:w="550"/>
              <w:gridCol w:w="784"/>
              <w:gridCol w:w="1105"/>
            </w:tblGrid>
            <w:tr w:rsidR="000661CE" w:rsidRPr="00FE6768" w14:paraId="6A8F054E" w14:textId="77777777" w:rsidTr="00F002FA">
              <w:trPr>
                <w:trHeight w:val="810"/>
              </w:trPr>
              <w:tc>
                <w:tcPr>
                  <w:tcW w:w="3309" w:type="dxa"/>
                  <w:tcBorders>
                    <w:top w:val="nil"/>
                    <w:left w:val="nil"/>
                    <w:bottom w:val="nil"/>
                    <w:right w:val="nil"/>
                  </w:tcBorders>
                  <w:noWrap/>
                  <w:vAlign w:val="center"/>
                  <w:hideMark/>
                </w:tcPr>
                <w:p w14:paraId="5146C4B8" w14:textId="77777777" w:rsidR="000661CE" w:rsidRPr="00FE6768" w:rsidRDefault="000661CE" w:rsidP="000661CE">
                  <w:pPr>
                    <w:suppressAutoHyphens w:val="0"/>
                    <w:autoSpaceDN/>
                    <w:spacing w:after="0" w:line="240" w:lineRule="auto"/>
                    <w:rPr>
                      <w:rFonts w:ascii="Times New Roman" w:hAnsi="Times New Roman"/>
                      <w:b/>
                      <w:color w:val="auto"/>
                      <w:sz w:val="20"/>
                      <w:szCs w:val="20"/>
                      <w:u w:val="single"/>
                    </w:rPr>
                  </w:pPr>
                  <w:r w:rsidRPr="00FE6768">
                    <w:rPr>
                      <w:rFonts w:ascii="Times New Roman" w:hAnsi="Times New Roman"/>
                      <w:b/>
                      <w:color w:val="auto"/>
                      <w:sz w:val="20"/>
                      <w:szCs w:val="20"/>
                      <w:u w:val="single"/>
                    </w:rPr>
                    <w:t>Y1 Phonics Data</w:t>
                  </w:r>
                </w:p>
              </w:tc>
              <w:tc>
                <w:tcPr>
                  <w:tcW w:w="1083" w:type="dxa"/>
                  <w:tcBorders>
                    <w:top w:val="nil"/>
                    <w:left w:val="nil"/>
                    <w:bottom w:val="nil"/>
                    <w:right w:val="nil"/>
                  </w:tcBorders>
                  <w:noWrap/>
                  <w:vAlign w:val="center"/>
                  <w:hideMark/>
                </w:tcPr>
                <w:p w14:paraId="22F598F8" w14:textId="77777777" w:rsidR="000661CE" w:rsidRDefault="000661CE" w:rsidP="000661CE">
                  <w:pPr>
                    <w:suppressAutoHyphens w:val="0"/>
                    <w:autoSpaceDN/>
                    <w:spacing w:after="0" w:line="240" w:lineRule="auto"/>
                    <w:jc w:val="center"/>
                    <w:rPr>
                      <w:rFonts w:ascii="Times New Roman" w:hAnsi="Times New Roman"/>
                      <w:color w:val="auto"/>
                      <w:sz w:val="20"/>
                      <w:szCs w:val="20"/>
                    </w:rPr>
                  </w:pPr>
                </w:p>
                <w:p w14:paraId="42FA1891" w14:textId="77777777" w:rsidR="000661CE" w:rsidRDefault="000661CE" w:rsidP="000661CE">
                  <w:pPr>
                    <w:suppressAutoHyphens w:val="0"/>
                    <w:autoSpaceDN/>
                    <w:spacing w:after="0" w:line="240" w:lineRule="auto"/>
                    <w:jc w:val="center"/>
                    <w:rPr>
                      <w:rFonts w:ascii="Times New Roman" w:hAnsi="Times New Roman"/>
                      <w:color w:val="auto"/>
                      <w:sz w:val="20"/>
                      <w:szCs w:val="20"/>
                    </w:rPr>
                  </w:pPr>
                </w:p>
                <w:p w14:paraId="0F8D4E8B" w14:textId="77777777" w:rsidR="000661CE" w:rsidRPr="00FE6768" w:rsidRDefault="000661CE" w:rsidP="000661CE">
                  <w:pPr>
                    <w:suppressAutoHyphens w:val="0"/>
                    <w:autoSpaceDN/>
                    <w:spacing w:after="0" w:line="240" w:lineRule="auto"/>
                    <w:rPr>
                      <w:rFonts w:ascii="Times New Roman" w:hAnsi="Times New Roman"/>
                      <w:color w:val="auto"/>
                      <w:sz w:val="20"/>
                      <w:szCs w:val="20"/>
                    </w:rPr>
                  </w:pPr>
                </w:p>
              </w:tc>
              <w:tc>
                <w:tcPr>
                  <w:tcW w:w="1884" w:type="dxa"/>
                  <w:gridSpan w:val="3"/>
                  <w:tcBorders>
                    <w:top w:val="single" w:sz="8" w:space="0" w:color="auto"/>
                    <w:left w:val="single" w:sz="8" w:space="0" w:color="auto"/>
                    <w:bottom w:val="nil"/>
                    <w:right w:val="single" w:sz="4" w:space="0" w:color="auto"/>
                  </w:tcBorders>
                  <w:shd w:val="clear" w:color="000000" w:fill="990033"/>
                  <w:vAlign w:val="center"/>
                  <w:hideMark/>
                </w:tcPr>
                <w:p w14:paraId="3B0AD222" w14:textId="77777777" w:rsidR="000661CE" w:rsidRPr="00FE6768" w:rsidRDefault="000661CE" w:rsidP="000661CE">
                  <w:pPr>
                    <w:suppressAutoHyphens w:val="0"/>
                    <w:autoSpaceDN/>
                    <w:spacing w:after="0" w:line="240" w:lineRule="auto"/>
                    <w:jc w:val="center"/>
                    <w:rPr>
                      <w:rFonts w:cs="Arial"/>
                      <w:b/>
                      <w:bCs/>
                      <w:color w:val="FFFFFF"/>
                      <w:sz w:val="20"/>
                      <w:szCs w:val="20"/>
                    </w:rPr>
                  </w:pPr>
                  <w:r w:rsidRPr="00FE6768">
                    <w:rPr>
                      <w:rFonts w:cs="Arial"/>
                      <w:b/>
                      <w:bCs/>
                      <w:color w:val="FFFFFF"/>
                      <w:sz w:val="20"/>
                      <w:szCs w:val="20"/>
                    </w:rPr>
                    <w:t>All</w:t>
                  </w:r>
                </w:p>
              </w:tc>
              <w:tc>
                <w:tcPr>
                  <w:tcW w:w="1884" w:type="dxa"/>
                  <w:gridSpan w:val="3"/>
                  <w:tcBorders>
                    <w:top w:val="single" w:sz="8" w:space="0" w:color="auto"/>
                    <w:left w:val="single" w:sz="8" w:space="0" w:color="auto"/>
                    <w:bottom w:val="nil"/>
                    <w:right w:val="single" w:sz="4" w:space="0" w:color="auto"/>
                  </w:tcBorders>
                  <w:shd w:val="clear" w:color="000000" w:fill="990033"/>
                  <w:vAlign w:val="center"/>
                  <w:hideMark/>
                </w:tcPr>
                <w:p w14:paraId="292C3F90" w14:textId="77777777" w:rsidR="000661CE" w:rsidRPr="00FE6768" w:rsidRDefault="000661CE" w:rsidP="000661CE">
                  <w:pPr>
                    <w:suppressAutoHyphens w:val="0"/>
                    <w:autoSpaceDN/>
                    <w:spacing w:after="0" w:line="240" w:lineRule="auto"/>
                    <w:jc w:val="center"/>
                    <w:rPr>
                      <w:rFonts w:cs="Arial"/>
                      <w:b/>
                      <w:bCs/>
                      <w:color w:val="FFFFFF"/>
                      <w:sz w:val="20"/>
                      <w:szCs w:val="20"/>
                    </w:rPr>
                  </w:pPr>
                  <w:r w:rsidRPr="00FE6768">
                    <w:rPr>
                      <w:rFonts w:cs="Arial"/>
                      <w:b/>
                      <w:bCs/>
                      <w:color w:val="FFFFFF"/>
                      <w:sz w:val="20"/>
                      <w:szCs w:val="20"/>
                    </w:rPr>
                    <w:t>PP</w:t>
                  </w:r>
                </w:p>
              </w:tc>
              <w:tc>
                <w:tcPr>
                  <w:tcW w:w="1105" w:type="dxa"/>
                  <w:tcBorders>
                    <w:top w:val="single" w:sz="8" w:space="0" w:color="auto"/>
                    <w:left w:val="single" w:sz="8" w:space="0" w:color="auto"/>
                    <w:bottom w:val="nil"/>
                    <w:right w:val="single" w:sz="4" w:space="0" w:color="auto"/>
                  </w:tcBorders>
                  <w:shd w:val="clear" w:color="000000" w:fill="990033"/>
                </w:tcPr>
                <w:p w14:paraId="218F4FA8" w14:textId="77777777" w:rsidR="000661CE" w:rsidRDefault="000661CE" w:rsidP="000661CE">
                  <w:pPr>
                    <w:suppressAutoHyphens w:val="0"/>
                    <w:autoSpaceDN/>
                    <w:spacing w:after="0" w:line="240" w:lineRule="auto"/>
                    <w:jc w:val="center"/>
                    <w:rPr>
                      <w:rFonts w:cs="Arial"/>
                      <w:b/>
                      <w:bCs/>
                      <w:color w:val="FFFFFF"/>
                      <w:sz w:val="20"/>
                      <w:szCs w:val="20"/>
                    </w:rPr>
                  </w:pPr>
                </w:p>
                <w:p w14:paraId="11EF996E" w14:textId="77777777" w:rsidR="000661CE" w:rsidRDefault="000661CE" w:rsidP="000661CE">
                  <w:pPr>
                    <w:suppressAutoHyphens w:val="0"/>
                    <w:autoSpaceDN/>
                    <w:spacing w:after="0" w:line="240" w:lineRule="auto"/>
                    <w:jc w:val="center"/>
                    <w:rPr>
                      <w:rFonts w:cs="Arial"/>
                      <w:b/>
                      <w:bCs/>
                      <w:color w:val="FFFFFF"/>
                      <w:sz w:val="20"/>
                      <w:szCs w:val="20"/>
                    </w:rPr>
                  </w:pPr>
                  <w:r>
                    <w:rPr>
                      <w:rFonts w:cs="Arial"/>
                      <w:b/>
                      <w:bCs/>
                      <w:color w:val="FFFFFF"/>
                      <w:sz w:val="20"/>
                      <w:szCs w:val="20"/>
                    </w:rPr>
                    <w:t xml:space="preserve">2023 </w:t>
                  </w:r>
                </w:p>
                <w:p w14:paraId="2FDDC9AF" w14:textId="77777777" w:rsidR="000661CE" w:rsidRPr="00FE6768" w:rsidRDefault="000661CE" w:rsidP="000661CE">
                  <w:pPr>
                    <w:suppressAutoHyphens w:val="0"/>
                    <w:autoSpaceDN/>
                    <w:spacing w:after="0" w:line="240" w:lineRule="auto"/>
                    <w:jc w:val="center"/>
                    <w:rPr>
                      <w:rFonts w:cs="Arial"/>
                      <w:b/>
                      <w:bCs/>
                      <w:color w:val="FFFFFF"/>
                      <w:sz w:val="20"/>
                      <w:szCs w:val="20"/>
                    </w:rPr>
                  </w:pPr>
                  <w:r w:rsidRPr="00FE6768">
                    <w:rPr>
                      <w:rFonts w:cs="Arial"/>
                      <w:b/>
                      <w:bCs/>
                      <w:color w:val="FFFFFF"/>
                      <w:sz w:val="20"/>
                      <w:szCs w:val="20"/>
                    </w:rPr>
                    <w:t>EXS+ %</w:t>
                  </w:r>
                </w:p>
              </w:tc>
            </w:tr>
            <w:tr w:rsidR="000661CE" w:rsidRPr="00FE6768" w14:paraId="24E3E428" w14:textId="77777777" w:rsidTr="00F002FA">
              <w:trPr>
                <w:trHeight w:val="1245"/>
              </w:trPr>
              <w:tc>
                <w:tcPr>
                  <w:tcW w:w="3309" w:type="dxa"/>
                  <w:tcBorders>
                    <w:top w:val="single" w:sz="8" w:space="0" w:color="auto"/>
                    <w:left w:val="single" w:sz="8" w:space="0" w:color="auto"/>
                    <w:bottom w:val="single" w:sz="8" w:space="0" w:color="auto"/>
                    <w:right w:val="single" w:sz="4" w:space="0" w:color="auto"/>
                  </w:tcBorders>
                  <w:vAlign w:val="center"/>
                  <w:hideMark/>
                </w:tcPr>
                <w:p w14:paraId="0BCB6D29" w14:textId="77777777" w:rsidR="000661CE" w:rsidRPr="00FE6768" w:rsidRDefault="000661CE" w:rsidP="000661CE">
                  <w:pPr>
                    <w:suppressAutoHyphens w:val="0"/>
                    <w:autoSpaceDN/>
                    <w:spacing w:after="0" w:line="240" w:lineRule="auto"/>
                    <w:rPr>
                      <w:rFonts w:cs="Arial"/>
                      <w:b/>
                      <w:bCs/>
                      <w:color w:val="000000"/>
                      <w:sz w:val="20"/>
                      <w:szCs w:val="20"/>
                    </w:rPr>
                  </w:pPr>
                  <w:r w:rsidRPr="00FE6768">
                    <w:rPr>
                      <w:rFonts w:cs="Arial"/>
                      <w:b/>
                      <w:bCs/>
                      <w:color w:val="000000"/>
                      <w:sz w:val="20"/>
                      <w:szCs w:val="20"/>
                    </w:rPr>
                    <w:t>Academy</w:t>
                  </w:r>
                </w:p>
              </w:tc>
              <w:tc>
                <w:tcPr>
                  <w:tcW w:w="1083" w:type="dxa"/>
                  <w:tcBorders>
                    <w:top w:val="single" w:sz="8" w:space="0" w:color="auto"/>
                    <w:left w:val="single" w:sz="4" w:space="0" w:color="auto"/>
                    <w:bottom w:val="single" w:sz="8" w:space="0" w:color="auto"/>
                    <w:right w:val="single" w:sz="8" w:space="0" w:color="auto"/>
                  </w:tcBorders>
                  <w:noWrap/>
                  <w:vAlign w:val="center"/>
                  <w:hideMark/>
                </w:tcPr>
                <w:p w14:paraId="16277FFC" w14:textId="77777777" w:rsidR="000661CE" w:rsidRPr="00FE6768" w:rsidRDefault="000661CE" w:rsidP="000661CE">
                  <w:pPr>
                    <w:suppressAutoHyphens w:val="0"/>
                    <w:autoSpaceDN/>
                    <w:spacing w:after="0" w:line="240" w:lineRule="auto"/>
                    <w:jc w:val="center"/>
                    <w:rPr>
                      <w:rFonts w:cs="Arial"/>
                      <w:b/>
                      <w:bCs/>
                      <w:i/>
                      <w:iCs/>
                      <w:color w:val="000000"/>
                      <w:sz w:val="20"/>
                      <w:szCs w:val="20"/>
                    </w:rPr>
                  </w:pPr>
                  <w:r w:rsidRPr="00FE6768">
                    <w:rPr>
                      <w:rFonts w:cs="Arial"/>
                      <w:b/>
                      <w:bCs/>
                      <w:i/>
                      <w:iCs/>
                      <w:color w:val="000000"/>
                      <w:sz w:val="20"/>
                      <w:szCs w:val="20"/>
                    </w:rPr>
                    <w:t>SchoolID</w:t>
                  </w:r>
                </w:p>
              </w:tc>
              <w:tc>
                <w:tcPr>
                  <w:tcW w:w="550" w:type="dxa"/>
                  <w:tcBorders>
                    <w:top w:val="single" w:sz="8" w:space="0" w:color="auto"/>
                    <w:left w:val="single" w:sz="8" w:space="0" w:color="auto"/>
                    <w:bottom w:val="single" w:sz="8" w:space="0" w:color="auto"/>
                    <w:right w:val="single" w:sz="4" w:space="0" w:color="auto"/>
                  </w:tcBorders>
                  <w:textDirection w:val="btLr"/>
                  <w:vAlign w:val="center"/>
                  <w:hideMark/>
                </w:tcPr>
                <w:p w14:paraId="0465A1F8" w14:textId="77777777" w:rsidR="000661CE" w:rsidRPr="00FE6768" w:rsidRDefault="000661CE" w:rsidP="000661CE">
                  <w:pPr>
                    <w:suppressAutoHyphens w:val="0"/>
                    <w:autoSpaceDN/>
                    <w:spacing w:after="0" w:line="240" w:lineRule="auto"/>
                    <w:jc w:val="center"/>
                    <w:rPr>
                      <w:rFonts w:cs="Arial"/>
                      <w:b/>
                      <w:bCs/>
                      <w:color w:val="000000"/>
                      <w:sz w:val="20"/>
                      <w:szCs w:val="20"/>
                    </w:rPr>
                  </w:pPr>
                  <w:r w:rsidRPr="00FE6768">
                    <w:rPr>
                      <w:rFonts w:cs="Arial"/>
                      <w:b/>
                      <w:bCs/>
                      <w:color w:val="000000"/>
                      <w:sz w:val="20"/>
                      <w:szCs w:val="20"/>
                    </w:rPr>
                    <w:t>Cohort</w:t>
                  </w:r>
                </w:p>
              </w:tc>
              <w:tc>
                <w:tcPr>
                  <w:tcW w:w="550" w:type="dxa"/>
                  <w:tcBorders>
                    <w:top w:val="single" w:sz="8" w:space="0" w:color="auto"/>
                    <w:left w:val="single" w:sz="4" w:space="0" w:color="auto"/>
                    <w:bottom w:val="single" w:sz="8" w:space="0" w:color="auto"/>
                    <w:right w:val="single" w:sz="4" w:space="0" w:color="auto"/>
                  </w:tcBorders>
                  <w:textDirection w:val="btLr"/>
                  <w:vAlign w:val="center"/>
                  <w:hideMark/>
                </w:tcPr>
                <w:p w14:paraId="4A035C25" w14:textId="77777777" w:rsidR="000661CE" w:rsidRPr="00FE6768" w:rsidRDefault="000661CE" w:rsidP="000661CE">
                  <w:pPr>
                    <w:suppressAutoHyphens w:val="0"/>
                    <w:autoSpaceDN/>
                    <w:spacing w:after="0" w:line="240" w:lineRule="auto"/>
                    <w:jc w:val="center"/>
                    <w:rPr>
                      <w:rFonts w:cs="Arial"/>
                      <w:b/>
                      <w:bCs/>
                      <w:color w:val="000000"/>
                      <w:sz w:val="20"/>
                      <w:szCs w:val="20"/>
                    </w:rPr>
                  </w:pPr>
                  <w:r w:rsidRPr="00FE6768">
                    <w:rPr>
                      <w:rFonts w:cs="Arial"/>
                      <w:b/>
                      <w:bCs/>
                      <w:color w:val="000000"/>
                      <w:sz w:val="20"/>
                      <w:szCs w:val="20"/>
                    </w:rPr>
                    <w:t>Exp Std No.</w:t>
                  </w:r>
                </w:p>
              </w:tc>
              <w:tc>
                <w:tcPr>
                  <w:tcW w:w="784" w:type="dxa"/>
                  <w:tcBorders>
                    <w:top w:val="single" w:sz="8" w:space="0" w:color="auto"/>
                    <w:left w:val="single" w:sz="4" w:space="0" w:color="auto"/>
                    <w:bottom w:val="single" w:sz="8" w:space="0" w:color="auto"/>
                    <w:right w:val="single" w:sz="8" w:space="0" w:color="auto"/>
                  </w:tcBorders>
                  <w:textDirection w:val="btLr"/>
                  <w:vAlign w:val="center"/>
                  <w:hideMark/>
                </w:tcPr>
                <w:p w14:paraId="7DF2C1FE" w14:textId="77777777" w:rsidR="000661CE" w:rsidRPr="00FE6768" w:rsidRDefault="000661CE" w:rsidP="000661CE">
                  <w:pPr>
                    <w:suppressAutoHyphens w:val="0"/>
                    <w:autoSpaceDN/>
                    <w:spacing w:after="0" w:line="240" w:lineRule="auto"/>
                    <w:jc w:val="center"/>
                    <w:rPr>
                      <w:rFonts w:cs="Arial"/>
                      <w:b/>
                      <w:bCs/>
                      <w:color w:val="000000"/>
                      <w:sz w:val="20"/>
                      <w:szCs w:val="20"/>
                    </w:rPr>
                  </w:pPr>
                  <w:r w:rsidRPr="00FE6768">
                    <w:rPr>
                      <w:rFonts w:cs="Arial"/>
                      <w:b/>
                      <w:bCs/>
                      <w:color w:val="000000"/>
                      <w:sz w:val="20"/>
                      <w:szCs w:val="20"/>
                    </w:rPr>
                    <w:t>Exp Std %</w:t>
                  </w:r>
                </w:p>
              </w:tc>
              <w:tc>
                <w:tcPr>
                  <w:tcW w:w="550" w:type="dxa"/>
                  <w:tcBorders>
                    <w:top w:val="single" w:sz="8" w:space="0" w:color="auto"/>
                    <w:left w:val="single" w:sz="8" w:space="0" w:color="auto"/>
                    <w:bottom w:val="single" w:sz="8" w:space="0" w:color="auto"/>
                    <w:right w:val="single" w:sz="4" w:space="0" w:color="auto"/>
                  </w:tcBorders>
                  <w:textDirection w:val="btLr"/>
                  <w:vAlign w:val="center"/>
                  <w:hideMark/>
                </w:tcPr>
                <w:p w14:paraId="65092335" w14:textId="77777777" w:rsidR="000661CE" w:rsidRPr="00FE6768" w:rsidRDefault="000661CE" w:rsidP="000661CE">
                  <w:pPr>
                    <w:suppressAutoHyphens w:val="0"/>
                    <w:autoSpaceDN/>
                    <w:spacing w:after="0" w:line="240" w:lineRule="auto"/>
                    <w:jc w:val="center"/>
                    <w:rPr>
                      <w:rFonts w:cs="Arial"/>
                      <w:b/>
                      <w:bCs/>
                      <w:color w:val="000000"/>
                      <w:sz w:val="20"/>
                      <w:szCs w:val="20"/>
                    </w:rPr>
                  </w:pPr>
                  <w:r w:rsidRPr="00FE6768">
                    <w:rPr>
                      <w:rFonts w:cs="Arial"/>
                      <w:b/>
                      <w:bCs/>
                      <w:color w:val="000000"/>
                      <w:sz w:val="20"/>
                      <w:szCs w:val="20"/>
                    </w:rPr>
                    <w:t>Cohort</w:t>
                  </w:r>
                </w:p>
              </w:tc>
              <w:tc>
                <w:tcPr>
                  <w:tcW w:w="550" w:type="dxa"/>
                  <w:tcBorders>
                    <w:top w:val="single" w:sz="8" w:space="0" w:color="auto"/>
                    <w:left w:val="single" w:sz="4" w:space="0" w:color="auto"/>
                    <w:bottom w:val="single" w:sz="8" w:space="0" w:color="auto"/>
                    <w:right w:val="single" w:sz="4" w:space="0" w:color="auto"/>
                  </w:tcBorders>
                  <w:textDirection w:val="btLr"/>
                  <w:vAlign w:val="center"/>
                  <w:hideMark/>
                </w:tcPr>
                <w:p w14:paraId="2A98A4DC" w14:textId="77777777" w:rsidR="000661CE" w:rsidRPr="00FE6768" w:rsidRDefault="000661CE" w:rsidP="000661CE">
                  <w:pPr>
                    <w:suppressAutoHyphens w:val="0"/>
                    <w:autoSpaceDN/>
                    <w:spacing w:after="0" w:line="240" w:lineRule="auto"/>
                    <w:jc w:val="center"/>
                    <w:rPr>
                      <w:rFonts w:cs="Arial"/>
                      <w:b/>
                      <w:bCs/>
                      <w:color w:val="000000"/>
                      <w:sz w:val="20"/>
                      <w:szCs w:val="20"/>
                    </w:rPr>
                  </w:pPr>
                  <w:r w:rsidRPr="00FE6768">
                    <w:rPr>
                      <w:rFonts w:cs="Arial"/>
                      <w:b/>
                      <w:bCs/>
                      <w:color w:val="000000"/>
                      <w:sz w:val="20"/>
                      <w:szCs w:val="20"/>
                    </w:rPr>
                    <w:t>Exp Std No.</w:t>
                  </w:r>
                </w:p>
              </w:tc>
              <w:tc>
                <w:tcPr>
                  <w:tcW w:w="784" w:type="dxa"/>
                  <w:tcBorders>
                    <w:top w:val="single" w:sz="8" w:space="0" w:color="auto"/>
                    <w:left w:val="single" w:sz="4" w:space="0" w:color="auto"/>
                    <w:bottom w:val="single" w:sz="8" w:space="0" w:color="auto"/>
                    <w:right w:val="single" w:sz="8" w:space="0" w:color="auto"/>
                  </w:tcBorders>
                  <w:textDirection w:val="btLr"/>
                  <w:vAlign w:val="center"/>
                  <w:hideMark/>
                </w:tcPr>
                <w:p w14:paraId="3CF96862" w14:textId="77777777" w:rsidR="000661CE" w:rsidRPr="00FE6768" w:rsidRDefault="000661CE" w:rsidP="000661CE">
                  <w:pPr>
                    <w:suppressAutoHyphens w:val="0"/>
                    <w:autoSpaceDN/>
                    <w:spacing w:after="0" w:line="240" w:lineRule="auto"/>
                    <w:jc w:val="center"/>
                    <w:rPr>
                      <w:rFonts w:cs="Arial"/>
                      <w:b/>
                      <w:bCs/>
                      <w:color w:val="000000"/>
                      <w:sz w:val="20"/>
                      <w:szCs w:val="20"/>
                    </w:rPr>
                  </w:pPr>
                  <w:r w:rsidRPr="00FE6768">
                    <w:rPr>
                      <w:rFonts w:cs="Arial"/>
                      <w:b/>
                      <w:bCs/>
                      <w:color w:val="000000"/>
                      <w:sz w:val="20"/>
                      <w:szCs w:val="20"/>
                    </w:rPr>
                    <w:t>Exp Std %</w:t>
                  </w:r>
                </w:p>
              </w:tc>
              <w:tc>
                <w:tcPr>
                  <w:tcW w:w="1105" w:type="dxa"/>
                  <w:tcBorders>
                    <w:top w:val="single" w:sz="8" w:space="0" w:color="auto"/>
                    <w:left w:val="single" w:sz="4" w:space="0" w:color="auto"/>
                    <w:bottom w:val="single" w:sz="8" w:space="0" w:color="auto"/>
                    <w:right w:val="single" w:sz="8" w:space="0" w:color="auto"/>
                  </w:tcBorders>
                  <w:textDirection w:val="btLr"/>
                </w:tcPr>
                <w:p w14:paraId="472656FC" w14:textId="77777777" w:rsidR="000661CE" w:rsidRPr="00FE6768" w:rsidRDefault="000661CE" w:rsidP="000661CE">
                  <w:pPr>
                    <w:suppressAutoHyphens w:val="0"/>
                    <w:autoSpaceDN/>
                    <w:spacing w:after="0" w:line="240" w:lineRule="auto"/>
                    <w:jc w:val="center"/>
                    <w:rPr>
                      <w:rFonts w:cs="Arial"/>
                      <w:b/>
                      <w:bCs/>
                      <w:color w:val="000000"/>
                      <w:sz w:val="20"/>
                      <w:szCs w:val="20"/>
                    </w:rPr>
                  </w:pPr>
                </w:p>
              </w:tc>
            </w:tr>
            <w:tr w:rsidR="000661CE" w:rsidRPr="00FE6768" w14:paraId="3996ED29" w14:textId="77777777" w:rsidTr="00F002FA">
              <w:trPr>
                <w:trHeight w:val="285"/>
              </w:trPr>
              <w:tc>
                <w:tcPr>
                  <w:tcW w:w="3309" w:type="dxa"/>
                  <w:tcBorders>
                    <w:top w:val="single" w:sz="4" w:space="0" w:color="auto"/>
                    <w:left w:val="single" w:sz="8" w:space="0" w:color="auto"/>
                    <w:bottom w:val="single" w:sz="4" w:space="0" w:color="auto"/>
                    <w:right w:val="single" w:sz="4" w:space="0" w:color="auto"/>
                  </w:tcBorders>
                  <w:noWrap/>
                  <w:vAlign w:val="center"/>
                  <w:hideMark/>
                </w:tcPr>
                <w:p w14:paraId="55B48781" w14:textId="77777777" w:rsidR="000661CE" w:rsidRPr="00FE6768" w:rsidRDefault="000661CE" w:rsidP="000661CE">
                  <w:pPr>
                    <w:suppressAutoHyphens w:val="0"/>
                    <w:autoSpaceDN/>
                    <w:spacing w:after="0" w:line="240" w:lineRule="auto"/>
                    <w:rPr>
                      <w:rFonts w:cs="Arial"/>
                      <w:b/>
                      <w:bCs/>
                      <w:color w:val="000000"/>
                      <w:sz w:val="20"/>
                      <w:szCs w:val="20"/>
                    </w:rPr>
                  </w:pPr>
                  <w:r w:rsidRPr="00FE6768">
                    <w:rPr>
                      <w:rFonts w:cs="Arial"/>
                      <w:b/>
                      <w:bCs/>
                      <w:color w:val="000000"/>
                      <w:sz w:val="20"/>
                      <w:szCs w:val="20"/>
                    </w:rPr>
                    <w:t>Edenthorpe Hall Primary Academy</w:t>
                  </w:r>
                </w:p>
              </w:tc>
              <w:tc>
                <w:tcPr>
                  <w:tcW w:w="1083" w:type="dxa"/>
                  <w:tcBorders>
                    <w:top w:val="single" w:sz="4" w:space="0" w:color="auto"/>
                    <w:left w:val="single" w:sz="4" w:space="0" w:color="auto"/>
                    <w:bottom w:val="single" w:sz="4" w:space="0" w:color="auto"/>
                    <w:right w:val="single" w:sz="8" w:space="0" w:color="auto"/>
                  </w:tcBorders>
                  <w:noWrap/>
                  <w:vAlign w:val="center"/>
                  <w:hideMark/>
                </w:tcPr>
                <w:p w14:paraId="09BF49D1" w14:textId="77777777" w:rsidR="000661CE" w:rsidRPr="00FE6768" w:rsidRDefault="000661CE" w:rsidP="000661CE">
                  <w:pPr>
                    <w:suppressAutoHyphens w:val="0"/>
                    <w:autoSpaceDN/>
                    <w:spacing w:after="0" w:line="240" w:lineRule="auto"/>
                    <w:jc w:val="center"/>
                    <w:rPr>
                      <w:rFonts w:cs="Arial"/>
                      <w:color w:val="000000"/>
                      <w:sz w:val="20"/>
                      <w:szCs w:val="20"/>
                    </w:rPr>
                  </w:pPr>
                  <w:r w:rsidRPr="00FE6768">
                    <w:rPr>
                      <w:rFonts w:cs="Arial"/>
                      <w:color w:val="000000"/>
                      <w:sz w:val="20"/>
                      <w:szCs w:val="20"/>
                    </w:rPr>
                    <w:t>12559</w:t>
                  </w:r>
                </w:p>
              </w:tc>
              <w:tc>
                <w:tcPr>
                  <w:tcW w:w="550" w:type="dxa"/>
                  <w:tcBorders>
                    <w:top w:val="single" w:sz="4" w:space="0" w:color="auto"/>
                    <w:left w:val="single" w:sz="8" w:space="0" w:color="auto"/>
                    <w:bottom w:val="single" w:sz="4" w:space="0" w:color="auto"/>
                    <w:right w:val="single" w:sz="4" w:space="0" w:color="auto"/>
                  </w:tcBorders>
                  <w:noWrap/>
                  <w:vAlign w:val="center"/>
                  <w:hideMark/>
                </w:tcPr>
                <w:p w14:paraId="0A7F8443" w14:textId="77777777" w:rsidR="000661CE" w:rsidRPr="00FE6768" w:rsidRDefault="000661CE" w:rsidP="000661CE">
                  <w:pPr>
                    <w:suppressAutoHyphens w:val="0"/>
                    <w:autoSpaceDN/>
                    <w:spacing w:after="0" w:line="240" w:lineRule="auto"/>
                    <w:jc w:val="center"/>
                    <w:rPr>
                      <w:rFonts w:cs="Arial"/>
                      <w:i/>
                      <w:iCs/>
                      <w:color w:val="000000"/>
                      <w:sz w:val="20"/>
                      <w:szCs w:val="20"/>
                    </w:rPr>
                  </w:pPr>
                  <w:r w:rsidRPr="00FE6768">
                    <w:rPr>
                      <w:rFonts w:cs="Arial"/>
                      <w:i/>
                      <w:iCs/>
                      <w:color w:val="000000"/>
                      <w:sz w:val="20"/>
                      <w:szCs w:val="20"/>
                    </w:rPr>
                    <w:t>20</w:t>
                  </w:r>
                </w:p>
              </w:tc>
              <w:tc>
                <w:tcPr>
                  <w:tcW w:w="550" w:type="dxa"/>
                  <w:tcBorders>
                    <w:top w:val="single" w:sz="4" w:space="0" w:color="auto"/>
                    <w:left w:val="single" w:sz="4" w:space="0" w:color="auto"/>
                    <w:bottom w:val="single" w:sz="4" w:space="0" w:color="auto"/>
                    <w:right w:val="single" w:sz="4" w:space="0" w:color="auto"/>
                  </w:tcBorders>
                  <w:noWrap/>
                  <w:vAlign w:val="center"/>
                  <w:hideMark/>
                </w:tcPr>
                <w:p w14:paraId="5901ADB1" w14:textId="77777777" w:rsidR="000661CE" w:rsidRPr="00FE6768" w:rsidRDefault="000661CE" w:rsidP="000661CE">
                  <w:pPr>
                    <w:suppressAutoHyphens w:val="0"/>
                    <w:autoSpaceDN/>
                    <w:spacing w:after="0" w:line="240" w:lineRule="auto"/>
                    <w:jc w:val="center"/>
                    <w:rPr>
                      <w:rFonts w:cs="Arial"/>
                      <w:i/>
                      <w:iCs/>
                      <w:color w:val="000000"/>
                      <w:sz w:val="20"/>
                      <w:szCs w:val="20"/>
                    </w:rPr>
                  </w:pPr>
                  <w:r w:rsidRPr="00FE6768">
                    <w:rPr>
                      <w:rFonts w:cs="Arial"/>
                      <w:i/>
                      <w:iCs/>
                      <w:color w:val="000000"/>
                      <w:sz w:val="20"/>
                      <w:szCs w:val="20"/>
                    </w:rPr>
                    <w:t>17</w:t>
                  </w:r>
                </w:p>
              </w:tc>
              <w:tc>
                <w:tcPr>
                  <w:tcW w:w="784" w:type="dxa"/>
                  <w:tcBorders>
                    <w:top w:val="single" w:sz="4" w:space="0" w:color="auto"/>
                    <w:left w:val="single" w:sz="4" w:space="0" w:color="auto"/>
                    <w:bottom w:val="single" w:sz="4" w:space="0" w:color="auto"/>
                    <w:right w:val="single" w:sz="8" w:space="0" w:color="auto"/>
                  </w:tcBorders>
                  <w:noWrap/>
                  <w:vAlign w:val="center"/>
                  <w:hideMark/>
                </w:tcPr>
                <w:p w14:paraId="307157B6" w14:textId="77777777" w:rsidR="000661CE" w:rsidRPr="00FE6768" w:rsidRDefault="000661CE" w:rsidP="000661CE">
                  <w:pPr>
                    <w:suppressAutoHyphens w:val="0"/>
                    <w:autoSpaceDN/>
                    <w:spacing w:after="0" w:line="240" w:lineRule="auto"/>
                    <w:jc w:val="center"/>
                    <w:rPr>
                      <w:rFonts w:cs="Arial"/>
                      <w:i/>
                      <w:iCs/>
                      <w:color w:val="000000"/>
                      <w:sz w:val="20"/>
                      <w:szCs w:val="20"/>
                    </w:rPr>
                  </w:pPr>
                  <w:r w:rsidRPr="00FE6768">
                    <w:rPr>
                      <w:rFonts w:cs="Arial"/>
                      <w:i/>
                      <w:iCs/>
                      <w:color w:val="000000"/>
                      <w:sz w:val="20"/>
                      <w:szCs w:val="20"/>
                    </w:rPr>
                    <w:t>85.0%</w:t>
                  </w:r>
                </w:p>
              </w:tc>
              <w:tc>
                <w:tcPr>
                  <w:tcW w:w="550" w:type="dxa"/>
                  <w:tcBorders>
                    <w:top w:val="single" w:sz="4" w:space="0" w:color="auto"/>
                    <w:left w:val="single" w:sz="8" w:space="0" w:color="auto"/>
                    <w:bottom w:val="single" w:sz="4" w:space="0" w:color="auto"/>
                    <w:right w:val="single" w:sz="4" w:space="0" w:color="auto"/>
                  </w:tcBorders>
                  <w:noWrap/>
                  <w:vAlign w:val="center"/>
                  <w:hideMark/>
                </w:tcPr>
                <w:p w14:paraId="073EB6FD" w14:textId="77777777" w:rsidR="000661CE" w:rsidRPr="00FE6768" w:rsidRDefault="000661CE" w:rsidP="000661CE">
                  <w:pPr>
                    <w:suppressAutoHyphens w:val="0"/>
                    <w:autoSpaceDN/>
                    <w:spacing w:after="0" w:line="240" w:lineRule="auto"/>
                    <w:jc w:val="center"/>
                    <w:rPr>
                      <w:rFonts w:cs="Arial"/>
                      <w:i/>
                      <w:iCs/>
                      <w:color w:val="000000"/>
                      <w:sz w:val="20"/>
                      <w:szCs w:val="20"/>
                    </w:rPr>
                  </w:pPr>
                  <w:r w:rsidRPr="00FE6768">
                    <w:rPr>
                      <w:rFonts w:cs="Arial"/>
                      <w:i/>
                      <w:iCs/>
                      <w:color w:val="000000"/>
                      <w:sz w:val="20"/>
                      <w:szCs w:val="20"/>
                    </w:rPr>
                    <w:t>5</w:t>
                  </w:r>
                </w:p>
              </w:tc>
              <w:tc>
                <w:tcPr>
                  <w:tcW w:w="550" w:type="dxa"/>
                  <w:tcBorders>
                    <w:top w:val="single" w:sz="4" w:space="0" w:color="auto"/>
                    <w:left w:val="single" w:sz="4" w:space="0" w:color="auto"/>
                    <w:bottom w:val="single" w:sz="4" w:space="0" w:color="auto"/>
                    <w:right w:val="single" w:sz="4" w:space="0" w:color="auto"/>
                  </w:tcBorders>
                  <w:noWrap/>
                  <w:vAlign w:val="center"/>
                  <w:hideMark/>
                </w:tcPr>
                <w:p w14:paraId="0BFEC189" w14:textId="77777777" w:rsidR="000661CE" w:rsidRPr="00FE6768" w:rsidRDefault="000661CE" w:rsidP="000661CE">
                  <w:pPr>
                    <w:suppressAutoHyphens w:val="0"/>
                    <w:autoSpaceDN/>
                    <w:spacing w:after="0" w:line="240" w:lineRule="auto"/>
                    <w:jc w:val="center"/>
                    <w:rPr>
                      <w:rFonts w:cs="Arial"/>
                      <w:i/>
                      <w:iCs/>
                      <w:color w:val="000000"/>
                      <w:sz w:val="20"/>
                      <w:szCs w:val="20"/>
                    </w:rPr>
                  </w:pPr>
                  <w:r w:rsidRPr="00FE6768">
                    <w:rPr>
                      <w:rFonts w:cs="Arial"/>
                      <w:i/>
                      <w:iCs/>
                      <w:color w:val="000000"/>
                      <w:sz w:val="20"/>
                      <w:szCs w:val="20"/>
                    </w:rPr>
                    <w:t>3</w:t>
                  </w:r>
                </w:p>
              </w:tc>
              <w:tc>
                <w:tcPr>
                  <w:tcW w:w="784" w:type="dxa"/>
                  <w:tcBorders>
                    <w:top w:val="single" w:sz="4" w:space="0" w:color="auto"/>
                    <w:left w:val="single" w:sz="4" w:space="0" w:color="auto"/>
                    <w:bottom w:val="single" w:sz="4" w:space="0" w:color="auto"/>
                    <w:right w:val="single" w:sz="8" w:space="0" w:color="auto"/>
                  </w:tcBorders>
                  <w:noWrap/>
                  <w:vAlign w:val="center"/>
                  <w:hideMark/>
                </w:tcPr>
                <w:p w14:paraId="47534C08" w14:textId="77777777" w:rsidR="000661CE" w:rsidRPr="00FE6768" w:rsidRDefault="000661CE" w:rsidP="000661CE">
                  <w:pPr>
                    <w:suppressAutoHyphens w:val="0"/>
                    <w:autoSpaceDN/>
                    <w:spacing w:after="0" w:line="240" w:lineRule="auto"/>
                    <w:jc w:val="center"/>
                    <w:rPr>
                      <w:rFonts w:cs="Arial"/>
                      <w:i/>
                      <w:iCs/>
                      <w:color w:val="000000"/>
                      <w:sz w:val="20"/>
                      <w:szCs w:val="20"/>
                    </w:rPr>
                  </w:pPr>
                  <w:r w:rsidRPr="00FE6768">
                    <w:rPr>
                      <w:rFonts w:cs="Arial"/>
                      <w:i/>
                      <w:iCs/>
                      <w:color w:val="000000"/>
                      <w:sz w:val="20"/>
                      <w:szCs w:val="20"/>
                    </w:rPr>
                    <w:t>60.0%</w:t>
                  </w:r>
                </w:p>
              </w:tc>
              <w:tc>
                <w:tcPr>
                  <w:tcW w:w="1105" w:type="dxa"/>
                  <w:tcBorders>
                    <w:top w:val="single" w:sz="4" w:space="0" w:color="auto"/>
                    <w:left w:val="single" w:sz="4" w:space="0" w:color="auto"/>
                    <w:bottom w:val="single" w:sz="4" w:space="0" w:color="auto"/>
                    <w:right w:val="single" w:sz="8" w:space="0" w:color="auto"/>
                  </w:tcBorders>
                </w:tcPr>
                <w:p w14:paraId="6198AFA3" w14:textId="77777777" w:rsidR="000661CE" w:rsidRPr="00FE6768" w:rsidRDefault="000661CE" w:rsidP="000661CE">
                  <w:pPr>
                    <w:suppressAutoHyphens w:val="0"/>
                    <w:autoSpaceDN/>
                    <w:spacing w:after="0" w:line="240" w:lineRule="auto"/>
                    <w:jc w:val="center"/>
                    <w:rPr>
                      <w:rFonts w:cs="Arial"/>
                      <w:i/>
                      <w:iCs/>
                      <w:color w:val="000000"/>
                      <w:sz w:val="20"/>
                      <w:szCs w:val="20"/>
                    </w:rPr>
                  </w:pPr>
                  <w:r>
                    <w:rPr>
                      <w:rFonts w:cs="Arial"/>
                      <w:i/>
                      <w:iCs/>
                      <w:color w:val="000000"/>
                      <w:sz w:val="20"/>
                      <w:szCs w:val="20"/>
                    </w:rPr>
                    <w:t>64%</w:t>
                  </w:r>
                </w:p>
              </w:tc>
            </w:tr>
          </w:tbl>
          <w:p w14:paraId="6E151BC7" w14:textId="77777777" w:rsidR="000661CE" w:rsidRDefault="000661CE" w:rsidP="000661CE">
            <w:pPr>
              <w:spacing w:before="120" w:after="120"/>
              <w:rPr>
                <w:i/>
                <w:iCs/>
              </w:rPr>
            </w:pPr>
          </w:p>
          <w:p w14:paraId="3AD791FC" w14:textId="77777777" w:rsidR="000661CE" w:rsidRPr="00DD1BDA" w:rsidRDefault="000661CE" w:rsidP="000661CE">
            <w:pPr>
              <w:textAlignment w:val="baseline"/>
              <w:rPr>
                <w:rFonts w:cs="Arial"/>
                <w:sz w:val="20"/>
                <w:szCs w:val="20"/>
              </w:rPr>
            </w:pPr>
            <w:r>
              <w:rPr>
                <w:rFonts w:cs="Arial"/>
                <w:sz w:val="20"/>
                <w:szCs w:val="20"/>
              </w:rPr>
              <w:t>Use of additional TA has sown impact in phonics. We have been able to run additional groups.</w:t>
            </w:r>
            <w:r>
              <w:rPr>
                <w:rFonts w:eastAsia="Calibri" w:cs="Arial"/>
                <w:sz w:val="20"/>
                <w:szCs w:val="20"/>
              </w:rPr>
              <w:t xml:space="preserve"> In phonics, fast track phonics has been utilised to target 5 pupils. 3 of these pupils met the expected standard. Subscribing to the RWI programme has meant that school is able to access 3 development days and 3 progress meetings per year. This has ensured that the teaching across phonics in school is very strong and constantly improving. The subject leader gains support from the RWI consultant and as a result is very knowledgeable about the programme. The subject leader has been released three days per week to coach individual members of staff. High quality reading books have been purchased to ensure pupils home learning books match their phonics knowledge. Speech and language interventions have run alongside this programme to support pupils who are behind age related expectations</w:t>
            </w:r>
          </w:p>
          <w:p w14:paraId="7B085193" w14:textId="77777777" w:rsidR="000661CE" w:rsidRDefault="000661CE" w:rsidP="000661CE">
            <w:pPr>
              <w:spacing w:before="120" w:after="120"/>
              <w:rPr>
                <w:i/>
                <w:iCs/>
              </w:rPr>
            </w:pPr>
          </w:p>
          <w:p w14:paraId="092E7D3A" w14:textId="77777777" w:rsidR="000661CE" w:rsidRDefault="000661CE" w:rsidP="000661CE">
            <w:pPr>
              <w:spacing w:before="120" w:after="120"/>
              <w:rPr>
                <w:i/>
                <w:iCs/>
              </w:rPr>
            </w:pPr>
            <w:r>
              <w:rPr>
                <w:rFonts w:ascii="Times New Roman" w:hAnsi="Times New Roman"/>
                <w:b/>
                <w:color w:val="auto"/>
                <w:sz w:val="20"/>
                <w:szCs w:val="20"/>
                <w:u w:val="single"/>
              </w:rPr>
              <w:t>KS2 SATS</w:t>
            </w:r>
            <w:r w:rsidRPr="00FE6768">
              <w:rPr>
                <w:rFonts w:ascii="Times New Roman" w:hAnsi="Times New Roman"/>
                <w:b/>
                <w:color w:val="auto"/>
                <w:sz w:val="20"/>
                <w:szCs w:val="20"/>
                <w:u w:val="single"/>
              </w:rPr>
              <w:t xml:space="preserve"> Data</w:t>
            </w:r>
          </w:p>
          <w:p w14:paraId="5786C142" w14:textId="77777777" w:rsidR="000661CE" w:rsidRDefault="000661CE" w:rsidP="000661CE">
            <w:pPr>
              <w:spacing w:before="120" w:after="120"/>
              <w:rPr>
                <w:i/>
                <w:iCs/>
              </w:rPr>
            </w:pPr>
          </w:p>
          <w:tbl>
            <w:tblPr>
              <w:tblW w:w="8055" w:type="dxa"/>
              <w:tblCellMar>
                <w:top w:w="15" w:type="dxa"/>
                <w:bottom w:w="15" w:type="dxa"/>
              </w:tblCellMar>
              <w:tblLook w:val="04A0" w:firstRow="1" w:lastRow="0" w:firstColumn="1" w:lastColumn="0" w:noHBand="0" w:noVBand="1"/>
            </w:tblPr>
            <w:tblGrid>
              <w:gridCol w:w="929"/>
              <w:gridCol w:w="872"/>
              <w:gridCol w:w="548"/>
              <w:gridCol w:w="797"/>
              <w:gridCol w:w="541"/>
              <w:gridCol w:w="786"/>
              <w:gridCol w:w="556"/>
              <w:gridCol w:w="809"/>
              <w:gridCol w:w="539"/>
              <w:gridCol w:w="784"/>
              <w:gridCol w:w="894"/>
            </w:tblGrid>
            <w:tr w:rsidR="000661CE" w:rsidRPr="00FE6768" w14:paraId="0568F2A2" w14:textId="77777777" w:rsidTr="00F002FA">
              <w:trPr>
                <w:trHeight w:val="631"/>
              </w:trPr>
              <w:tc>
                <w:tcPr>
                  <w:tcW w:w="0" w:type="auto"/>
                  <w:vMerge w:val="restart"/>
                  <w:tcBorders>
                    <w:top w:val="single" w:sz="8" w:space="0" w:color="auto"/>
                    <w:left w:val="single" w:sz="8" w:space="0" w:color="auto"/>
                    <w:bottom w:val="nil"/>
                    <w:right w:val="single" w:sz="8" w:space="0" w:color="auto"/>
                  </w:tcBorders>
                  <w:shd w:val="clear" w:color="000000" w:fill="990033"/>
                  <w:noWrap/>
                  <w:vAlign w:val="center"/>
                  <w:hideMark/>
                </w:tcPr>
                <w:p w14:paraId="67B0DABD"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Cohort</w:t>
                  </w:r>
                </w:p>
              </w:tc>
              <w:tc>
                <w:tcPr>
                  <w:tcW w:w="0" w:type="auto"/>
                  <w:vMerge w:val="restart"/>
                  <w:tcBorders>
                    <w:top w:val="single" w:sz="8" w:space="0" w:color="auto"/>
                    <w:left w:val="single" w:sz="8" w:space="0" w:color="auto"/>
                    <w:bottom w:val="nil"/>
                    <w:right w:val="single" w:sz="8" w:space="0" w:color="auto"/>
                  </w:tcBorders>
                  <w:shd w:val="clear" w:color="000000" w:fill="990033"/>
                  <w:noWrap/>
                  <w:vAlign w:val="center"/>
                  <w:hideMark/>
                </w:tcPr>
                <w:p w14:paraId="06C475BB"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Cohort</w:t>
                  </w:r>
                </w:p>
              </w:tc>
              <w:tc>
                <w:tcPr>
                  <w:tcW w:w="0" w:type="auto"/>
                  <w:gridSpan w:val="2"/>
                  <w:tcBorders>
                    <w:top w:val="single" w:sz="8" w:space="0" w:color="auto"/>
                    <w:left w:val="single" w:sz="4" w:space="0" w:color="auto"/>
                    <w:bottom w:val="single" w:sz="4" w:space="0" w:color="auto"/>
                    <w:right w:val="nil"/>
                  </w:tcBorders>
                  <w:shd w:val="clear" w:color="000000" w:fill="990033"/>
                  <w:vAlign w:val="center"/>
                  <w:hideMark/>
                </w:tcPr>
                <w:p w14:paraId="39E53E15"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Reading EXS+</w:t>
                  </w:r>
                </w:p>
              </w:tc>
              <w:tc>
                <w:tcPr>
                  <w:tcW w:w="0" w:type="auto"/>
                  <w:gridSpan w:val="2"/>
                  <w:tcBorders>
                    <w:top w:val="single" w:sz="8" w:space="0" w:color="auto"/>
                    <w:left w:val="nil"/>
                    <w:bottom w:val="single" w:sz="4" w:space="0" w:color="auto"/>
                    <w:right w:val="single" w:sz="4" w:space="0" w:color="auto"/>
                  </w:tcBorders>
                  <w:shd w:val="clear" w:color="000000" w:fill="990033"/>
                  <w:vAlign w:val="center"/>
                  <w:hideMark/>
                </w:tcPr>
                <w:p w14:paraId="2A8B797B"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Maths EXS+</w:t>
                  </w:r>
                </w:p>
              </w:tc>
              <w:tc>
                <w:tcPr>
                  <w:tcW w:w="0" w:type="auto"/>
                  <w:gridSpan w:val="2"/>
                  <w:tcBorders>
                    <w:top w:val="single" w:sz="8" w:space="0" w:color="auto"/>
                    <w:left w:val="nil"/>
                    <w:bottom w:val="single" w:sz="4" w:space="0" w:color="auto"/>
                    <w:right w:val="single" w:sz="4" w:space="0" w:color="auto"/>
                  </w:tcBorders>
                  <w:shd w:val="clear" w:color="000000" w:fill="990033"/>
                  <w:vAlign w:val="center"/>
                  <w:hideMark/>
                </w:tcPr>
                <w:p w14:paraId="43C032F5"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Writing TA EXS+</w:t>
                  </w:r>
                </w:p>
              </w:tc>
              <w:tc>
                <w:tcPr>
                  <w:tcW w:w="0" w:type="auto"/>
                  <w:gridSpan w:val="2"/>
                  <w:tcBorders>
                    <w:top w:val="single" w:sz="8" w:space="0" w:color="auto"/>
                    <w:left w:val="single" w:sz="8" w:space="0" w:color="auto"/>
                    <w:bottom w:val="single" w:sz="4" w:space="0" w:color="auto"/>
                    <w:right w:val="single" w:sz="4" w:space="0" w:color="auto"/>
                  </w:tcBorders>
                  <w:shd w:val="clear" w:color="000000" w:fill="990033"/>
                  <w:noWrap/>
                  <w:vAlign w:val="center"/>
                  <w:hideMark/>
                </w:tcPr>
                <w:p w14:paraId="3F6FC196"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RWM EXS+</w:t>
                  </w:r>
                </w:p>
              </w:tc>
              <w:tc>
                <w:tcPr>
                  <w:tcW w:w="0" w:type="auto"/>
                  <w:tcBorders>
                    <w:top w:val="single" w:sz="8" w:space="0" w:color="auto"/>
                    <w:left w:val="single" w:sz="8" w:space="0" w:color="auto"/>
                    <w:bottom w:val="nil"/>
                    <w:right w:val="single" w:sz="8" w:space="0" w:color="auto"/>
                  </w:tcBorders>
                  <w:shd w:val="clear" w:color="000000" w:fill="990033"/>
                  <w:vAlign w:val="center"/>
                  <w:hideMark/>
                </w:tcPr>
                <w:p w14:paraId="3D627680"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2023 RWM EXS+ %</w:t>
                  </w:r>
                </w:p>
              </w:tc>
            </w:tr>
            <w:tr w:rsidR="000661CE" w:rsidRPr="00FE6768" w14:paraId="75ACD461" w14:textId="77777777" w:rsidTr="00F002FA">
              <w:trPr>
                <w:trHeight w:val="274"/>
              </w:trPr>
              <w:tc>
                <w:tcPr>
                  <w:tcW w:w="0" w:type="auto"/>
                  <w:vMerge/>
                  <w:tcBorders>
                    <w:top w:val="single" w:sz="8" w:space="0" w:color="auto"/>
                    <w:left w:val="single" w:sz="8" w:space="0" w:color="auto"/>
                    <w:bottom w:val="nil"/>
                    <w:right w:val="single" w:sz="8" w:space="0" w:color="auto"/>
                  </w:tcBorders>
                  <w:vAlign w:val="center"/>
                  <w:hideMark/>
                </w:tcPr>
                <w:p w14:paraId="2630D412" w14:textId="77777777" w:rsidR="000661CE" w:rsidRPr="00FE6768" w:rsidRDefault="000661CE" w:rsidP="000661CE">
                  <w:pPr>
                    <w:framePr w:hSpace="180" w:wrap="around" w:vAnchor="page" w:hAnchor="margin" w:y="661"/>
                    <w:suppressAutoHyphens w:val="0"/>
                    <w:autoSpaceDN/>
                    <w:spacing w:after="0" w:line="240" w:lineRule="auto"/>
                    <w:rPr>
                      <w:rFonts w:cs="Arial"/>
                      <w:b/>
                      <w:bCs/>
                      <w:color w:val="FFFFFF"/>
                      <w:sz w:val="20"/>
                      <w:szCs w:val="20"/>
                    </w:rPr>
                  </w:pPr>
                </w:p>
              </w:tc>
              <w:tc>
                <w:tcPr>
                  <w:tcW w:w="0" w:type="auto"/>
                  <w:vMerge/>
                  <w:tcBorders>
                    <w:top w:val="single" w:sz="8" w:space="0" w:color="auto"/>
                    <w:left w:val="single" w:sz="8" w:space="0" w:color="auto"/>
                    <w:bottom w:val="nil"/>
                    <w:right w:val="single" w:sz="8" w:space="0" w:color="auto"/>
                  </w:tcBorders>
                  <w:vAlign w:val="center"/>
                  <w:hideMark/>
                </w:tcPr>
                <w:p w14:paraId="3A447840" w14:textId="77777777" w:rsidR="000661CE" w:rsidRPr="00FE6768" w:rsidRDefault="000661CE" w:rsidP="000661CE">
                  <w:pPr>
                    <w:framePr w:hSpace="180" w:wrap="around" w:vAnchor="page" w:hAnchor="margin" w:y="661"/>
                    <w:suppressAutoHyphens w:val="0"/>
                    <w:autoSpaceDN/>
                    <w:spacing w:after="0" w:line="240" w:lineRule="auto"/>
                    <w:rPr>
                      <w:rFonts w:cs="Arial"/>
                      <w:b/>
                      <w:bCs/>
                      <w:color w:val="FFFFFF"/>
                      <w:sz w:val="20"/>
                      <w:szCs w:val="20"/>
                    </w:rPr>
                  </w:pPr>
                </w:p>
              </w:tc>
              <w:tc>
                <w:tcPr>
                  <w:tcW w:w="0" w:type="auto"/>
                  <w:tcBorders>
                    <w:top w:val="single" w:sz="4" w:space="0" w:color="auto"/>
                    <w:left w:val="single" w:sz="4" w:space="0" w:color="auto"/>
                    <w:bottom w:val="nil"/>
                    <w:right w:val="single" w:sz="4" w:space="0" w:color="auto"/>
                  </w:tcBorders>
                  <w:shd w:val="clear" w:color="000000" w:fill="990033"/>
                  <w:noWrap/>
                  <w:vAlign w:val="center"/>
                  <w:hideMark/>
                </w:tcPr>
                <w:p w14:paraId="6FC6148D"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No.</w:t>
                  </w:r>
                </w:p>
              </w:tc>
              <w:tc>
                <w:tcPr>
                  <w:tcW w:w="0" w:type="auto"/>
                  <w:tcBorders>
                    <w:top w:val="single" w:sz="4" w:space="0" w:color="auto"/>
                    <w:left w:val="single" w:sz="4" w:space="0" w:color="auto"/>
                    <w:bottom w:val="nil"/>
                    <w:right w:val="nil"/>
                  </w:tcBorders>
                  <w:shd w:val="clear" w:color="000000" w:fill="990033"/>
                  <w:noWrap/>
                  <w:vAlign w:val="center"/>
                  <w:hideMark/>
                </w:tcPr>
                <w:p w14:paraId="1D0F553E"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w:t>
                  </w:r>
                </w:p>
              </w:tc>
              <w:tc>
                <w:tcPr>
                  <w:tcW w:w="0" w:type="auto"/>
                  <w:tcBorders>
                    <w:top w:val="single" w:sz="4" w:space="0" w:color="auto"/>
                    <w:left w:val="nil"/>
                    <w:bottom w:val="single" w:sz="8" w:space="0" w:color="auto"/>
                    <w:right w:val="single" w:sz="4" w:space="0" w:color="auto"/>
                  </w:tcBorders>
                  <w:shd w:val="clear" w:color="000000" w:fill="990033"/>
                  <w:noWrap/>
                  <w:vAlign w:val="center"/>
                  <w:hideMark/>
                </w:tcPr>
                <w:p w14:paraId="7045F447"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No.</w:t>
                  </w:r>
                </w:p>
              </w:tc>
              <w:tc>
                <w:tcPr>
                  <w:tcW w:w="0" w:type="auto"/>
                  <w:tcBorders>
                    <w:top w:val="single" w:sz="4" w:space="0" w:color="auto"/>
                    <w:left w:val="single" w:sz="4" w:space="0" w:color="auto"/>
                    <w:bottom w:val="single" w:sz="8" w:space="0" w:color="auto"/>
                    <w:right w:val="nil"/>
                  </w:tcBorders>
                  <w:shd w:val="clear" w:color="000000" w:fill="990033"/>
                  <w:noWrap/>
                  <w:vAlign w:val="center"/>
                  <w:hideMark/>
                </w:tcPr>
                <w:p w14:paraId="46B92FF1"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w:t>
                  </w:r>
                </w:p>
              </w:tc>
              <w:tc>
                <w:tcPr>
                  <w:tcW w:w="0" w:type="auto"/>
                  <w:tcBorders>
                    <w:top w:val="single" w:sz="4" w:space="0" w:color="auto"/>
                    <w:left w:val="nil"/>
                    <w:bottom w:val="single" w:sz="8" w:space="0" w:color="auto"/>
                    <w:right w:val="single" w:sz="4" w:space="0" w:color="auto"/>
                  </w:tcBorders>
                  <w:shd w:val="clear" w:color="000000" w:fill="990033"/>
                  <w:noWrap/>
                  <w:vAlign w:val="center"/>
                  <w:hideMark/>
                </w:tcPr>
                <w:p w14:paraId="49711CF9"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No.</w:t>
                  </w:r>
                </w:p>
              </w:tc>
              <w:tc>
                <w:tcPr>
                  <w:tcW w:w="0" w:type="auto"/>
                  <w:tcBorders>
                    <w:top w:val="single" w:sz="4" w:space="0" w:color="auto"/>
                    <w:left w:val="single" w:sz="4" w:space="0" w:color="auto"/>
                    <w:bottom w:val="single" w:sz="8" w:space="0" w:color="auto"/>
                    <w:right w:val="nil"/>
                  </w:tcBorders>
                  <w:shd w:val="clear" w:color="000000" w:fill="990033"/>
                  <w:noWrap/>
                  <w:vAlign w:val="center"/>
                  <w:hideMark/>
                </w:tcPr>
                <w:p w14:paraId="13714FEE"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w:t>
                  </w:r>
                </w:p>
              </w:tc>
              <w:tc>
                <w:tcPr>
                  <w:tcW w:w="0" w:type="auto"/>
                  <w:tcBorders>
                    <w:top w:val="single" w:sz="4" w:space="0" w:color="auto"/>
                    <w:left w:val="single" w:sz="8" w:space="0" w:color="auto"/>
                    <w:bottom w:val="single" w:sz="8" w:space="0" w:color="auto"/>
                    <w:right w:val="single" w:sz="4" w:space="0" w:color="auto"/>
                  </w:tcBorders>
                  <w:shd w:val="clear" w:color="000000" w:fill="990033"/>
                  <w:noWrap/>
                  <w:vAlign w:val="center"/>
                  <w:hideMark/>
                </w:tcPr>
                <w:p w14:paraId="7D141E45"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No.</w:t>
                  </w:r>
                </w:p>
              </w:tc>
              <w:tc>
                <w:tcPr>
                  <w:tcW w:w="0" w:type="auto"/>
                  <w:tcBorders>
                    <w:top w:val="single" w:sz="4" w:space="0" w:color="auto"/>
                    <w:left w:val="single" w:sz="4" w:space="0" w:color="auto"/>
                    <w:bottom w:val="single" w:sz="8" w:space="0" w:color="auto"/>
                    <w:right w:val="single" w:sz="8" w:space="0" w:color="auto"/>
                  </w:tcBorders>
                  <w:shd w:val="clear" w:color="000000" w:fill="990033"/>
                  <w:noWrap/>
                  <w:vAlign w:val="center"/>
                  <w:hideMark/>
                </w:tcPr>
                <w:p w14:paraId="07DA41D8"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FFFFFF"/>
                      <w:sz w:val="20"/>
                      <w:szCs w:val="20"/>
                    </w:rPr>
                  </w:pPr>
                  <w:r w:rsidRPr="00FE6768">
                    <w:rPr>
                      <w:rFonts w:cs="Arial"/>
                      <w:b/>
                      <w:bCs/>
                      <w:color w:val="FFFFFF"/>
                      <w:sz w:val="20"/>
                      <w:szCs w:val="20"/>
                    </w:rPr>
                    <w:t>%</w:t>
                  </w:r>
                </w:p>
              </w:tc>
              <w:tc>
                <w:tcPr>
                  <w:tcW w:w="0" w:type="auto"/>
                  <w:tcBorders>
                    <w:top w:val="single" w:sz="8" w:space="0" w:color="auto"/>
                    <w:left w:val="single" w:sz="8" w:space="0" w:color="auto"/>
                    <w:bottom w:val="nil"/>
                    <w:right w:val="single" w:sz="8" w:space="0" w:color="auto"/>
                  </w:tcBorders>
                  <w:vAlign w:val="center"/>
                  <w:hideMark/>
                </w:tcPr>
                <w:p w14:paraId="5B1CA9D9" w14:textId="77777777" w:rsidR="000661CE" w:rsidRPr="00FE6768" w:rsidRDefault="000661CE" w:rsidP="000661CE">
                  <w:pPr>
                    <w:framePr w:hSpace="180" w:wrap="around" w:vAnchor="page" w:hAnchor="margin" w:y="661"/>
                    <w:suppressAutoHyphens w:val="0"/>
                    <w:autoSpaceDN/>
                    <w:spacing w:after="0" w:line="240" w:lineRule="auto"/>
                    <w:rPr>
                      <w:rFonts w:cs="Arial"/>
                      <w:b/>
                      <w:bCs/>
                      <w:color w:val="FFFFFF"/>
                      <w:sz w:val="20"/>
                      <w:szCs w:val="20"/>
                    </w:rPr>
                  </w:pPr>
                </w:p>
              </w:tc>
            </w:tr>
            <w:tr w:rsidR="000661CE" w:rsidRPr="00FE6768" w14:paraId="586107C5" w14:textId="77777777" w:rsidTr="00F002FA">
              <w:trPr>
                <w:trHeight w:val="274"/>
              </w:trPr>
              <w:tc>
                <w:tcPr>
                  <w:tcW w:w="0" w:type="auto"/>
                  <w:tcBorders>
                    <w:top w:val="single" w:sz="8" w:space="0" w:color="auto"/>
                    <w:left w:val="single" w:sz="8" w:space="0" w:color="auto"/>
                    <w:bottom w:val="single" w:sz="8" w:space="0" w:color="auto"/>
                    <w:right w:val="single" w:sz="8" w:space="0" w:color="auto"/>
                  </w:tcBorders>
                  <w:shd w:val="clear" w:color="000000" w:fill="CAEDFB"/>
                  <w:noWrap/>
                  <w:vAlign w:val="center"/>
                  <w:hideMark/>
                </w:tcPr>
                <w:p w14:paraId="025C7252" w14:textId="77777777" w:rsidR="000661CE" w:rsidRPr="00FE6768" w:rsidRDefault="000661CE" w:rsidP="000661CE">
                  <w:pPr>
                    <w:framePr w:hSpace="180" w:wrap="around" w:vAnchor="page" w:hAnchor="margin" w:y="661"/>
                    <w:suppressAutoHyphens w:val="0"/>
                    <w:autoSpaceDN/>
                    <w:spacing w:after="0" w:line="240" w:lineRule="auto"/>
                    <w:rPr>
                      <w:rFonts w:cs="Arial"/>
                      <w:b/>
                      <w:bCs/>
                      <w:color w:val="000000"/>
                      <w:sz w:val="20"/>
                      <w:szCs w:val="20"/>
                    </w:rPr>
                  </w:pPr>
                  <w:r w:rsidRPr="00FE6768">
                    <w:rPr>
                      <w:rFonts w:cs="Arial"/>
                      <w:b/>
                      <w:bCs/>
                      <w:color w:val="000000"/>
                      <w:sz w:val="20"/>
                      <w:szCs w:val="20"/>
                    </w:rPr>
                    <w:t>ALL</w:t>
                  </w:r>
                </w:p>
              </w:tc>
              <w:tc>
                <w:tcPr>
                  <w:tcW w:w="0" w:type="auto"/>
                  <w:tcBorders>
                    <w:top w:val="single" w:sz="8" w:space="0" w:color="auto"/>
                    <w:left w:val="single" w:sz="8" w:space="0" w:color="auto"/>
                    <w:bottom w:val="single" w:sz="8" w:space="0" w:color="auto"/>
                    <w:right w:val="single" w:sz="8" w:space="0" w:color="auto"/>
                  </w:tcBorders>
                  <w:shd w:val="clear" w:color="000000" w:fill="CAEDFB"/>
                  <w:noWrap/>
                  <w:vAlign w:val="center"/>
                  <w:hideMark/>
                </w:tcPr>
                <w:p w14:paraId="2F9A689D"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31</w:t>
                  </w:r>
                </w:p>
              </w:tc>
              <w:tc>
                <w:tcPr>
                  <w:tcW w:w="0" w:type="auto"/>
                  <w:tcBorders>
                    <w:top w:val="single" w:sz="8" w:space="0" w:color="auto"/>
                    <w:left w:val="single" w:sz="4" w:space="0" w:color="auto"/>
                    <w:bottom w:val="single" w:sz="8" w:space="0" w:color="auto"/>
                    <w:right w:val="single" w:sz="4" w:space="0" w:color="auto"/>
                  </w:tcBorders>
                  <w:shd w:val="clear" w:color="000000" w:fill="CAEDFB"/>
                  <w:noWrap/>
                  <w:vAlign w:val="center"/>
                  <w:hideMark/>
                </w:tcPr>
                <w:p w14:paraId="51AC2B0C"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22</w:t>
                  </w:r>
                </w:p>
              </w:tc>
              <w:tc>
                <w:tcPr>
                  <w:tcW w:w="0" w:type="auto"/>
                  <w:tcBorders>
                    <w:top w:val="single" w:sz="8" w:space="0" w:color="auto"/>
                    <w:left w:val="single" w:sz="4" w:space="0" w:color="auto"/>
                    <w:bottom w:val="single" w:sz="8" w:space="0" w:color="auto"/>
                    <w:right w:val="single" w:sz="8" w:space="0" w:color="auto"/>
                  </w:tcBorders>
                  <w:shd w:val="clear" w:color="000000" w:fill="CAEDFB"/>
                  <w:noWrap/>
                  <w:vAlign w:val="center"/>
                  <w:hideMark/>
                </w:tcPr>
                <w:p w14:paraId="54FC5E4C"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71.0%</w:t>
                  </w:r>
                </w:p>
              </w:tc>
              <w:tc>
                <w:tcPr>
                  <w:tcW w:w="0" w:type="auto"/>
                  <w:tcBorders>
                    <w:top w:val="nil"/>
                    <w:left w:val="single" w:sz="4" w:space="0" w:color="auto"/>
                    <w:bottom w:val="single" w:sz="8" w:space="0" w:color="auto"/>
                    <w:right w:val="single" w:sz="4" w:space="0" w:color="auto"/>
                  </w:tcBorders>
                  <w:shd w:val="clear" w:color="000000" w:fill="CAEDFB"/>
                  <w:noWrap/>
                  <w:vAlign w:val="center"/>
                  <w:hideMark/>
                </w:tcPr>
                <w:p w14:paraId="70BA7BDF"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17</w:t>
                  </w:r>
                </w:p>
              </w:tc>
              <w:tc>
                <w:tcPr>
                  <w:tcW w:w="0" w:type="auto"/>
                  <w:tcBorders>
                    <w:top w:val="nil"/>
                    <w:left w:val="single" w:sz="4" w:space="0" w:color="auto"/>
                    <w:bottom w:val="single" w:sz="8" w:space="0" w:color="auto"/>
                    <w:right w:val="single" w:sz="8" w:space="0" w:color="auto"/>
                  </w:tcBorders>
                  <w:shd w:val="clear" w:color="000000" w:fill="CAEDFB"/>
                  <w:noWrap/>
                  <w:vAlign w:val="center"/>
                  <w:hideMark/>
                </w:tcPr>
                <w:p w14:paraId="3D2F1A4A"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54.8%</w:t>
                  </w:r>
                </w:p>
              </w:tc>
              <w:tc>
                <w:tcPr>
                  <w:tcW w:w="0" w:type="auto"/>
                  <w:tcBorders>
                    <w:top w:val="nil"/>
                    <w:left w:val="single" w:sz="8" w:space="0" w:color="auto"/>
                    <w:bottom w:val="single" w:sz="8" w:space="0" w:color="auto"/>
                    <w:right w:val="single" w:sz="4" w:space="0" w:color="auto"/>
                  </w:tcBorders>
                  <w:shd w:val="clear" w:color="000000" w:fill="CAEDFB"/>
                  <w:noWrap/>
                  <w:vAlign w:val="center"/>
                  <w:hideMark/>
                </w:tcPr>
                <w:p w14:paraId="53106186"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19</w:t>
                  </w:r>
                </w:p>
              </w:tc>
              <w:tc>
                <w:tcPr>
                  <w:tcW w:w="0" w:type="auto"/>
                  <w:tcBorders>
                    <w:top w:val="nil"/>
                    <w:left w:val="single" w:sz="4" w:space="0" w:color="auto"/>
                    <w:bottom w:val="single" w:sz="8" w:space="0" w:color="auto"/>
                    <w:right w:val="single" w:sz="8" w:space="0" w:color="auto"/>
                  </w:tcBorders>
                  <w:shd w:val="clear" w:color="000000" w:fill="CAEDFB"/>
                  <w:noWrap/>
                  <w:vAlign w:val="center"/>
                  <w:hideMark/>
                </w:tcPr>
                <w:p w14:paraId="367A26F3"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61.3%</w:t>
                  </w:r>
                </w:p>
              </w:tc>
              <w:tc>
                <w:tcPr>
                  <w:tcW w:w="0" w:type="auto"/>
                  <w:tcBorders>
                    <w:top w:val="nil"/>
                    <w:left w:val="single" w:sz="8" w:space="0" w:color="auto"/>
                    <w:bottom w:val="single" w:sz="8" w:space="0" w:color="auto"/>
                    <w:right w:val="single" w:sz="4" w:space="0" w:color="auto"/>
                  </w:tcBorders>
                  <w:shd w:val="clear" w:color="000000" w:fill="CAEDFB"/>
                  <w:noWrap/>
                  <w:vAlign w:val="center"/>
                  <w:hideMark/>
                </w:tcPr>
                <w:p w14:paraId="073506E2"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15</w:t>
                  </w:r>
                </w:p>
              </w:tc>
              <w:tc>
                <w:tcPr>
                  <w:tcW w:w="0" w:type="auto"/>
                  <w:tcBorders>
                    <w:top w:val="nil"/>
                    <w:left w:val="single" w:sz="4" w:space="0" w:color="auto"/>
                    <w:bottom w:val="single" w:sz="8" w:space="0" w:color="auto"/>
                    <w:right w:val="single" w:sz="8" w:space="0" w:color="auto"/>
                  </w:tcBorders>
                  <w:shd w:val="clear" w:color="000000" w:fill="CAEDFB"/>
                  <w:noWrap/>
                  <w:vAlign w:val="center"/>
                  <w:hideMark/>
                </w:tcPr>
                <w:p w14:paraId="1855ADF9"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48.4%</w:t>
                  </w:r>
                </w:p>
              </w:tc>
              <w:tc>
                <w:tcPr>
                  <w:tcW w:w="0" w:type="auto"/>
                  <w:tcBorders>
                    <w:top w:val="single" w:sz="8" w:space="0" w:color="auto"/>
                    <w:left w:val="single" w:sz="8" w:space="0" w:color="auto"/>
                    <w:bottom w:val="single" w:sz="8" w:space="0" w:color="auto"/>
                    <w:right w:val="single" w:sz="8" w:space="0" w:color="auto"/>
                  </w:tcBorders>
                  <w:shd w:val="clear" w:color="000000" w:fill="CAEDFB"/>
                  <w:noWrap/>
                  <w:vAlign w:val="center"/>
                  <w:hideMark/>
                </w:tcPr>
                <w:p w14:paraId="29FFE0D5" w14:textId="77777777" w:rsidR="000661CE" w:rsidRPr="00FE6768" w:rsidRDefault="000661CE" w:rsidP="000661CE">
                  <w:pPr>
                    <w:framePr w:hSpace="180" w:wrap="around" w:vAnchor="page" w:hAnchor="margin" w:y="661"/>
                    <w:suppressAutoHyphens w:val="0"/>
                    <w:autoSpaceDN/>
                    <w:spacing w:after="0" w:line="240" w:lineRule="auto"/>
                    <w:jc w:val="center"/>
                    <w:rPr>
                      <w:rFonts w:cs="Arial"/>
                      <w:b/>
                      <w:bCs/>
                      <w:color w:val="000000"/>
                      <w:sz w:val="20"/>
                      <w:szCs w:val="20"/>
                    </w:rPr>
                  </w:pPr>
                  <w:r w:rsidRPr="00FE6768">
                    <w:rPr>
                      <w:rFonts w:cs="Arial"/>
                      <w:b/>
                      <w:bCs/>
                      <w:color w:val="000000"/>
                      <w:sz w:val="20"/>
                      <w:szCs w:val="20"/>
                    </w:rPr>
                    <w:t>45.8%</w:t>
                  </w:r>
                </w:p>
              </w:tc>
            </w:tr>
            <w:tr w:rsidR="000661CE" w:rsidRPr="00FE6768" w14:paraId="4A343BE3" w14:textId="77777777" w:rsidTr="00F002FA">
              <w:trPr>
                <w:trHeight w:val="260"/>
              </w:trPr>
              <w:tc>
                <w:tcPr>
                  <w:tcW w:w="0" w:type="auto"/>
                  <w:tcBorders>
                    <w:top w:val="nil"/>
                    <w:left w:val="single" w:sz="8" w:space="0" w:color="auto"/>
                    <w:bottom w:val="single" w:sz="4" w:space="0" w:color="auto"/>
                    <w:right w:val="single" w:sz="8" w:space="0" w:color="auto"/>
                  </w:tcBorders>
                  <w:noWrap/>
                  <w:vAlign w:val="center"/>
                  <w:hideMark/>
                </w:tcPr>
                <w:p w14:paraId="1D73F9D8" w14:textId="77777777" w:rsidR="000661CE" w:rsidRPr="00FE6768" w:rsidRDefault="000661CE" w:rsidP="000661CE">
                  <w:pPr>
                    <w:framePr w:hSpace="180" w:wrap="around" w:vAnchor="page" w:hAnchor="margin" w:y="661"/>
                    <w:suppressAutoHyphens w:val="0"/>
                    <w:autoSpaceDN/>
                    <w:spacing w:after="0" w:line="240" w:lineRule="auto"/>
                    <w:rPr>
                      <w:rFonts w:cs="Arial"/>
                      <w:b/>
                      <w:bCs/>
                      <w:color w:val="000000"/>
                      <w:sz w:val="20"/>
                      <w:szCs w:val="20"/>
                    </w:rPr>
                  </w:pPr>
                  <w:r w:rsidRPr="00FE6768">
                    <w:rPr>
                      <w:rFonts w:cs="Arial"/>
                      <w:b/>
                      <w:bCs/>
                      <w:color w:val="000000"/>
                      <w:sz w:val="20"/>
                      <w:szCs w:val="20"/>
                    </w:rPr>
                    <w:t>PP</w:t>
                  </w:r>
                </w:p>
              </w:tc>
              <w:tc>
                <w:tcPr>
                  <w:tcW w:w="0" w:type="auto"/>
                  <w:tcBorders>
                    <w:top w:val="nil"/>
                    <w:left w:val="single" w:sz="8" w:space="0" w:color="auto"/>
                    <w:bottom w:val="single" w:sz="4" w:space="0" w:color="auto"/>
                    <w:right w:val="single" w:sz="8" w:space="0" w:color="auto"/>
                  </w:tcBorders>
                  <w:noWrap/>
                  <w:vAlign w:val="center"/>
                  <w:hideMark/>
                </w:tcPr>
                <w:p w14:paraId="05448ED1"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11</w:t>
                  </w:r>
                </w:p>
              </w:tc>
              <w:tc>
                <w:tcPr>
                  <w:tcW w:w="0" w:type="auto"/>
                  <w:tcBorders>
                    <w:top w:val="nil"/>
                    <w:left w:val="single" w:sz="4" w:space="0" w:color="auto"/>
                    <w:bottom w:val="single" w:sz="4" w:space="0" w:color="auto"/>
                    <w:right w:val="single" w:sz="4" w:space="0" w:color="auto"/>
                  </w:tcBorders>
                  <w:noWrap/>
                  <w:vAlign w:val="center"/>
                  <w:hideMark/>
                </w:tcPr>
                <w:p w14:paraId="32279602"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6</w:t>
                  </w:r>
                </w:p>
              </w:tc>
              <w:tc>
                <w:tcPr>
                  <w:tcW w:w="0" w:type="auto"/>
                  <w:tcBorders>
                    <w:top w:val="nil"/>
                    <w:left w:val="single" w:sz="4" w:space="0" w:color="auto"/>
                    <w:bottom w:val="single" w:sz="4" w:space="0" w:color="auto"/>
                    <w:right w:val="single" w:sz="8" w:space="0" w:color="auto"/>
                  </w:tcBorders>
                  <w:noWrap/>
                  <w:vAlign w:val="center"/>
                  <w:hideMark/>
                </w:tcPr>
                <w:p w14:paraId="33B29967"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54.5%</w:t>
                  </w:r>
                </w:p>
              </w:tc>
              <w:tc>
                <w:tcPr>
                  <w:tcW w:w="0" w:type="auto"/>
                  <w:tcBorders>
                    <w:top w:val="nil"/>
                    <w:left w:val="single" w:sz="4" w:space="0" w:color="auto"/>
                    <w:bottom w:val="single" w:sz="4" w:space="0" w:color="auto"/>
                    <w:right w:val="single" w:sz="4" w:space="0" w:color="auto"/>
                  </w:tcBorders>
                  <w:noWrap/>
                  <w:vAlign w:val="center"/>
                  <w:hideMark/>
                </w:tcPr>
                <w:p w14:paraId="65B3D39D"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4</w:t>
                  </w:r>
                </w:p>
              </w:tc>
              <w:tc>
                <w:tcPr>
                  <w:tcW w:w="0" w:type="auto"/>
                  <w:tcBorders>
                    <w:top w:val="nil"/>
                    <w:left w:val="single" w:sz="4" w:space="0" w:color="auto"/>
                    <w:bottom w:val="single" w:sz="4" w:space="0" w:color="auto"/>
                    <w:right w:val="single" w:sz="8" w:space="0" w:color="auto"/>
                  </w:tcBorders>
                  <w:noWrap/>
                  <w:vAlign w:val="center"/>
                  <w:hideMark/>
                </w:tcPr>
                <w:p w14:paraId="3ECA2E03"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36.4%</w:t>
                  </w:r>
                </w:p>
              </w:tc>
              <w:tc>
                <w:tcPr>
                  <w:tcW w:w="0" w:type="auto"/>
                  <w:tcBorders>
                    <w:top w:val="nil"/>
                    <w:left w:val="single" w:sz="8" w:space="0" w:color="auto"/>
                    <w:bottom w:val="single" w:sz="4" w:space="0" w:color="auto"/>
                    <w:right w:val="single" w:sz="4" w:space="0" w:color="auto"/>
                  </w:tcBorders>
                  <w:noWrap/>
                  <w:vAlign w:val="center"/>
                  <w:hideMark/>
                </w:tcPr>
                <w:p w14:paraId="6D540C38"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5</w:t>
                  </w:r>
                </w:p>
              </w:tc>
              <w:tc>
                <w:tcPr>
                  <w:tcW w:w="0" w:type="auto"/>
                  <w:tcBorders>
                    <w:top w:val="nil"/>
                    <w:left w:val="single" w:sz="4" w:space="0" w:color="auto"/>
                    <w:bottom w:val="single" w:sz="4" w:space="0" w:color="auto"/>
                    <w:right w:val="single" w:sz="8" w:space="0" w:color="auto"/>
                  </w:tcBorders>
                  <w:noWrap/>
                  <w:vAlign w:val="center"/>
                  <w:hideMark/>
                </w:tcPr>
                <w:p w14:paraId="4C65A619"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45.5%</w:t>
                  </w:r>
                </w:p>
              </w:tc>
              <w:tc>
                <w:tcPr>
                  <w:tcW w:w="0" w:type="auto"/>
                  <w:tcBorders>
                    <w:top w:val="nil"/>
                    <w:left w:val="single" w:sz="8" w:space="0" w:color="auto"/>
                    <w:bottom w:val="single" w:sz="4" w:space="0" w:color="auto"/>
                    <w:right w:val="single" w:sz="4" w:space="0" w:color="auto"/>
                  </w:tcBorders>
                  <w:noWrap/>
                  <w:vAlign w:val="center"/>
                  <w:hideMark/>
                </w:tcPr>
                <w:p w14:paraId="72A1DA55"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4</w:t>
                  </w:r>
                </w:p>
              </w:tc>
              <w:tc>
                <w:tcPr>
                  <w:tcW w:w="0" w:type="auto"/>
                  <w:tcBorders>
                    <w:top w:val="nil"/>
                    <w:left w:val="single" w:sz="4" w:space="0" w:color="auto"/>
                    <w:bottom w:val="single" w:sz="4" w:space="0" w:color="auto"/>
                    <w:right w:val="single" w:sz="8" w:space="0" w:color="auto"/>
                  </w:tcBorders>
                  <w:noWrap/>
                  <w:vAlign w:val="center"/>
                  <w:hideMark/>
                </w:tcPr>
                <w:p w14:paraId="4641D322"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36.4%</w:t>
                  </w:r>
                </w:p>
              </w:tc>
              <w:tc>
                <w:tcPr>
                  <w:tcW w:w="0" w:type="auto"/>
                  <w:tcBorders>
                    <w:top w:val="nil"/>
                    <w:left w:val="single" w:sz="8" w:space="0" w:color="auto"/>
                    <w:bottom w:val="single" w:sz="4" w:space="0" w:color="auto"/>
                    <w:right w:val="single" w:sz="8" w:space="0" w:color="auto"/>
                  </w:tcBorders>
                  <w:noWrap/>
                  <w:vAlign w:val="center"/>
                  <w:hideMark/>
                </w:tcPr>
                <w:p w14:paraId="664D9AB0"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39.2%</w:t>
                  </w:r>
                </w:p>
              </w:tc>
            </w:tr>
            <w:tr w:rsidR="000661CE" w:rsidRPr="00FE6768" w14:paraId="0C2434FB" w14:textId="77777777" w:rsidTr="00F002FA">
              <w:trPr>
                <w:trHeight w:val="274"/>
              </w:trPr>
              <w:tc>
                <w:tcPr>
                  <w:tcW w:w="0" w:type="auto"/>
                  <w:tcBorders>
                    <w:top w:val="single" w:sz="4" w:space="0" w:color="auto"/>
                    <w:left w:val="single" w:sz="8" w:space="0" w:color="auto"/>
                    <w:bottom w:val="single" w:sz="4" w:space="0" w:color="auto"/>
                    <w:right w:val="single" w:sz="8" w:space="0" w:color="auto"/>
                  </w:tcBorders>
                  <w:noWrap/>
                  <w:vAlign w:val="center"/>
                  <w:hideMark/>
                </w:tcPr>
                <w:p w14:paraId="50EA4729" w14:textId="77777777" w:rsidR="000661CE" w:rsidRPr="00FE6768" w:rsidRDefault="000661CE" w:rsidP="000661CE">
                  <w:pPr>
                    <w:framePr w:hSpace="180" w:wrap="around" w:vAnchor="page" w:hAnchor="margin" w:y="661"/>
                    <w:suppressAutoHyphens w:val="0"/>
                    <w:autoSpaceDN/>
                    <w:spacing w:after="0" w:line="240" w:lineRule="auto"/>
                    <w:rPr>
                      <w:rFonts w:cs="Arial"/>
                      <w:b/>
                      <w:bCs/>
                      <w:color w:val="000000"/>
                      <w:sz w:val="20"/>
                      <w:szCs w:val="20"/>
                    </w:rPr>
                  </w:pPr>
                  <w:r w:rsidRPr="00FE6768">
                    <w:rPr>
                      <w:rFonts w:cs="Arial"/>
                      <w:b/>
                      <w:bCs/>
                      <w:color w:val="000000"/>
                      <w:sz w:val="20"/>
                      <w:szCs w:val="20"/>
                    </w:rPr>
                    <w:t>Non PP</w:t>
                  </w:r>
                </w:p>
              </w:tc>
              <w:tc>
                <w:tcPr>
                  <w:tcW w:w="0" w:type="auto"/>
                  <w:tcBorders>
                    <w:top w:val="single" w:sz="4" w:space="0" w:color="auto"/>
                    <w:left w:val="single" w:sz="8" w:space="0" w:color="auto"/>
                    <w:bottom w:val="single" w:sz="4" w:space="0" w:color="auto"/>
                    <w:right w:val="single" w:sz="8" w:space="0" w:color="auto"/>
                  </w:tcBorders>
                  <w:noWrap/>
                  <w:vAlign w:val="center"/>
                  <w:hideMark/>
                </w:tcPr>
                <w:p w14:paraId="46B8C59D"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81EA15"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16</w:t>
                  </w:r>
                </w:p>
              </w:tc>
              <w:tc>
                <w:tcPr>
                  <w:tcW w:w="0" w:type="auto"/>
                  <w:tcBorders>
                    <w:top w:val="single" w:sz="4" w:space="0" w:color="auto"/>
                    <w:left w:val="single" w:sz="4" w:space="0" w:color="auto"/>
                    <w:bottom w:val="single" w:sz="4" w:space="0" w:color="auto"/>
                    <w:right w:val="single" w:sz="8" w:space="0" w:color="auto"/>
                  </w:tcBorders>
                  <w:noWrap/>
                  <w:vAlign w:val="center"/>
                  <w:hideMark/>
                </w:tcPr>
                <w:p w14:paraId="47FDFD7F"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F2D11E"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13</w:t>
                  </w:r>
                </w:p>
              </w:tc>
              <w:tc>
                <w:tcPr>
                  <w:tcW w:w="0" w:type="auto"/>
                  <w:tcBorders>
                    <w:top w:val="single" w:sz="4" w:space="0" w:color="auto"/>
                    <w:left w:val="single" w:sz="4" w:space="0" w:color="auto"/>
                    <w:bottom w:val="single" w:sz="4" w:space="0" w:color="auto"/>
                    <w:right w:val="single" w:sz="8" w:space="0" w:color="auto"/>
                  </w:tcBorders>
                  <w:noWrap/>
                  <w:vAlign w:val="center"/>
                  <w:hideMark/>
                </w:tcPr>
                <w:p w14:paraId="7F4D5FE2"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65.0%</w:t>
                  </w:r>
                </w:p>
              </w:tc>
              <w:tc>
                <w:tcPr>
                  <w:tcW w:w="0" w:type="auto"/>
                  <w:tcBorders>
                    <w:top w:val="single" w:sz="4" w:space="0" w:color="auto"/>
                    <w:left w:val="single" w:sz="8" w:space="0" w:color="auto"/>
                    <w:bottom w:val="single" w:sz="4" w:space="0" w:color="auto"/>
                    <w:right w:val="single" w:sz="4" w:space="0" w:color="auto"/>
                  </w:tcBorders>
                  <w:noWrap/>
                  <w:vAlign w:val="center"/>
                  <w:hideMark/>
                </w:tcPr>
                <w:p w14:paraId="56646832"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14</w:t>
                  </w:r>
                </w:p>
              </w:tc>
              <w:tc>
                <w:tcPr>
                  <w:tcW w:w="0" w:type="auto"/>
                  <w:tcBorders>
                    <w:top w:val="single" w:sz="4" w:space="0" w:color="auto"/>
                    <w:left w:val="single" w:sz="4" w:space="0" w:color="auto"/>
                    <w:bottom w:val="single" w:sz="4" w:space="0" w:color="auto"/>
                    <w:right w:val="single" w:sz="8" w:space="0" w:color="auto"/>
                  </w:tcBorders>
                  <w:noWrap/>
                  <w:vAlign w:val="center"/>
                  <w:hideMark/>
                </w:tcPr>
                <w:p w14:paraId="64FE332F"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70.0%</w:t>
                  </w:r>
                </w:p>
              </w:tc>
              <w:tc>
                <w:tcPr>
                  <w:tcW w:w="0" w:type="auto"/>
                  <w:tcBorders>
                    <w:top w:val="single" w:sz="4" w:space="0" w:color="auto"/>
                    <w:left w:val="single" w:sz="8" w:space="0" w:color="auto"/>
                    <w:bottom w:val="single" w:sz="4" w:space="0" w:color="auto"/>
                    <w:right w:val="single" w:sz="4" w:space="0" w:color="auto"/>
                  </w:tcBorders>
                  <w:noWrap/>
                  <w:vAlign w:val="center"/>
                  <w:hideMark/>
                </w:tcPr>
                <w:p w14:paraId="06FE76EE"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11</w:t>
                  </w:r>
                </w:p>
              </w:tc>
              <w:tc>
                <w:tcPr>
                  <w:tcW w:w="0" w:type="auto"/>
                  <w:tcBorders>
                    <w:top w:val="single" w:sz="4" w:space="0" w:color="auto"/>
                    <w:left w:val="single" w:sz="4" w:space="0" w:color="auto"/>
                    <w:bottom w:val="single" w:sz="4" w:space="0" w:color="auto"/>
                    <w:right w:val="single" w:sz="8" w:space="0" w:color="auto"/>
                  </w:tcBorders>
                  <w:noWrap/>
                  <w:vAlign w:val="center"/>
                  <w:hideMark/>
                </w:tcPr>
                <w:p w14:paraId="6B254EAB"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55.0%</w:t>
                  </w:r>
                </w:p>
              </w:tc>
              <w:tc>
                <w:tcPr>
                  <w:tcW w:w="0" w:type="auto"/>
                  <w:tcBorders>
                    <w:top w:val="single" w:sz="4" w:space="0" w:color="auto"/>
                    <w:left w:val="single" w:sz="8" w:space="0" w:color="auto"/>
                    <w:bottom w:val="single" w:sz="4" w:space="0" w:color="auto"/>
                    <w:right w:val="single" w:sz="8" w:space="0" w:color="auto"/>
                  </w:tcBorders>
                  <w:noWrap/>
                  <w:vAlign w:val="center"/>
                  <w:hideMark/>
                </w:tcPr>
                <w:p w14:paraId="1147D788" w14:textId="77777777" w:rsidR="000661CE" w:rsidRPr="00FE6768" w:rsidRDefault="000661CE" w:rsidP="000661CE">
                  <w:pPr>
                    <w:framePr w:hSpace="180" w:wrap="around" w:vAnchor="page" w:hAnchor="margin" w:y="661"/>
                    <w:suppressAutoHyphens w:val="0"/>
                    <w:autoSpaceDN/>
                    <w:spacing w:after="0" w:line="240" w:lineRule="auto"/>
                    <w:jc w:val="center"/>
                    <w:rPr>
                      <w:rFonts w:cs="Arial"/>
                      <w:color w:val="000000"/>
                      <w:sz w:val="20"/>
                      <w:szCs w:val="20"/>
                    </w:rPr>
                  </w:pPr>
                  <w:r w:rsidRPr="00FE6768">
                    <w:rPr>
                      <w:rFonts w:cs="Arial"/>
                      <w:color w:val="000000"/>
                      <w:sz w:val="20"/>
                      <w:szCs w:val="20"/>
                    </w:rPr>
                    <w:t>53.6%</w:t>
                  </w:r>
                </w:p>
              </w:tc>
            </w:tr>
          </w:tbl>
          <w:p w14:paraId="641139FA" w14:textId="77777777" w:rsidR="000661CE" w:rsidRDefault="000661CE" w:rsidP="000661CE">
            <w:pPr>
              <w:textAlignment w:val="baseline"/>
              <w:rPr>
                <w:i/>
                <w:iCs/>
              </w:rPr>
            </w:pPr>
          </w:p>
          <w:p w14:paraId="03EA1FE3" w14:textId="77777777" w:rsidR="000661CE" w:rsidRDefault="000661CE" w:rsidP="000661CE">
            <w:pPr>
              <w:textAlignment w:val="baseline"/>
              <w:rPr>
                <w:rFonts w:eastAsia="Calibri" w:cs="Arial"/>
                <w:sz w:val="20"/>
                <w:szCs w:val="20"/>
              </w:rPr>
            </w:pPr>
            <w:r>
              <w:rPr>
                <w:rFonts w:eastAsia="Calibri" w:cs="Arial"/>
                <w:sz w:val="20"/>
                <w:szCs w:val="20"/>
              </w:rPr>
              <w:t>Some impact can be seen in reducing the PP gap from starting points. More work is needed to reduce the gap to national average and to that of their peers1:1 tuition has had some impact with pupils in Y6. Out of the 11 pupils targeted, 4 met the expected standard for RWM. 6 pupils met the expected standard for reading. Fresh start intervention has also been utilised to support pupils working below age related expectations in Y5 and 6 to catch up to their peers.</w:t>
            </w:r>
          </w:p>
          <w:p w14:paraId="47D608CD" w14:textId="77777777" w:rsidR="000661CE" w:rsidRDefault="000661CE" w:rsidP="000661CE">
            <w:pPr>
              <w:textAlignment w:val="baseline"/>
              <w:rPr>
                <w:rFonts w:eastAsia="Calibri" w:cs="Arial"/>
                <w:sz w:val="20"/>
                <w:szCs w:val="20"/>
              </w:rPr>
            </w:pPr>
          </w:p>
          <w:p w14:paraId="791C894B" w14:textId="77777777" w:rsidR="000661CE" w:rsidRPr="003726ED" w:rsidRDefault="000661CE" w:rsidP="000661CE">
            <w:pPr>
              <w:textAlignment w:val="baseline"/>
              <w:rPr>
                <w:rFonts w:eastAsia="Calibri" w:cs="Arial"/>
                <w:b/>
                <w:sz w:val="20"/>
                <w:szCs w:val="20"/>
              </w:rPr>
            </w:pPr>
            <w:r w:rsidRPr="003726ED">
              <w:rPr>
                <w:rFonts w:eastAsia="Calibri" w:cs="Arial"/>
                <w:b/>
                <w:sz w:val="20"/>
                <w:szCs w:val="20"/>
              </w:rPr>
              <w:t>CPD</w:t>
            </w:r>
          </w:p>
          <w:p w14:paraId="56CC06DE" w14:textId="77777777" w:rsidR="000661CE" w:rsidRDefault="000661CE" w:rsidP="000661CE">
            <w:pPr>
              <w:textAlignment w:val="baseline"/>
              <w:rPr>
                <w:rFonts w:eastAsia="Calibri" w:cs="Arial"/>
                <w:sz w:val="20"/>
                <w:szCs w:val="20"/>
              </w:rPr>
            </w:pPr>
            <w:r>
              <w:rPr>
                <w:rFonts w:eastAsia="Calibri" w:cs="Arial"/>
                <w:sz w:val="20"/>
                <w:szCs w:val="20"/>
              </w:rPr>
              <w:t xml:space="preserve">The quality of teaching has improved significantly over this strategy. The investment in CPD and Trust services has improved pedagogy in the classroom and as a result teachers are more effective. CPD has specifically looked at Rosenshine’s principles of learning and TLAC strategies. HLTA cover has been used to ensure teachers can access these courses. In addition to this, subject leaders have accessed a </w:t>
            </w:r>
            <w:r>
              <w:rPr>
                <w:rFonts w:eastAsia="Calibri" w:cs="Arial"/>
                <w:sz w:val="20"/>
                <w:szCs w:val="20"/>
              </w:rPr>
              <w:lastRenderedPageBreak/>
              <w:t>range of courses such as PKC – subject knowledge, RWI training, subject leader meetings and leading teaching pedagogy courses.</w:t>
            </w:r>
          </w:p>
          <w:p w14:paraId="6C305FF7" w14:textId="77777777" w:rsidR="000661CE" w:rsidRDefault="000661CE" w:rsidP="000661CE">
            <w:pPr>
              <w:textAlignment w:val="baseline"/>
              <w:rPr>
                <w:rFonts w:eastAsia="Calibri" w:cs="Arial"/>
                <w:sz w:val="20"/>
                <w:szCs w:val="20"/>
              </w:rPr>
            </w:pPr>
          </w:p>
          <w:p w14:paraId="16DE8776" w14:textId="77777777" w:rsidR="000661CE" w:rsidRDefault="000661CE" w:rsidP="000661CE">
            <w:pPr>
              <w:textAlignment w:val="baseline"/>
              <w:rPr>
                <w:rFonts w:eastAsia="Calibri" w:cs="Arial"/>
                <w:sz w:val="20"/>
                <w:szCs w:val="20"/>
              </w:rPr>
            </w:pPr>
            <w:r>
              <w:rPr>
                <w:rFonts w:eastAsia="Calibri" w:cs="Arial"/>
                <w:sz w:val="20"/>
                <w:szCs w:val="20"/>
              </w:rPr>
              <w:t>Attendance</w:t>
            </w:r>
          </w:p>
          <w:p w14:paraId="71FF6FBD" w14:textId="77777777" w:rsidR="000661CE" w:rsidRDefault="000661CE" w:rsidP="000661CE">
            <w:pPr>
              <w:textAlignment w:val="baseline"/>
              <w:rPr>
                <w:rFonts w:eastAsia="Calibri" w:cs="Arial"/>
                <w:sz w:val="20"/>
                <w:szCs w:val="20"/>
              </w:rPr>
            </w:pPr>
          </w:p>
          <w:p w14:paraId="6F6E9680" w14:textId="77777777" w:rsidR="000661CE" w:rsidRDefault="000661CE" w:rsidP="000661CE">
            <w:pPr>
              <w:textAlignment w:val="baseline"/>
              <w:rPr>
                <w:rFonts w:eastAsia="Calibri" w:cs="Arial"/>
                <w:sz w:val="20"/>
                <w:szCs w:val="20"/>
              </w:rPr>
            </w:pPr>
            <w:r>
              <w:rPr>
                <w:rFonts w:eastAsia="Calibri" w:cs="Arial"/>
                <w:sz w:val="20"/>
                <w:szCs w:val="20"/>
              </w:rPr>
              <w:t>The appointment of an attendance lead has ensured attendance over this period has improved and that PA has decreased for all pupils. Whilst attendance for PP has increased, PA has also increased by 2.9%. The attendance lead has worked closely with families to support them in improving their child’s attendance. They have worked with external agencies to support pupils as appropriate. A free breakfast club has supported PP pupils to improve attendance. As an example, 43% of our pupil premium pupils attended breakfast club inn Summer term 2024.</w:t>
            </w:r>
          </w:p>
          <w:p w14:paraId="00909B9F" w14:textId="77777777" w:rsidR="000661CE" w:rsidRDefault="000661CE" w:rsidP="000661CE">
            <w:pPr>
              <w:textAlignment w:val="baseline"/>
              <w:rPr>
                <w:rFonts w:eastAsia="Calibri" w:cs="Arial"/>
                <w:sz w:val="20"/>
                <w:szCs w:val="20"/>
              </w:rPr>
            </w:pPr>
          </w:p>
          <w:tbl>
            <w:tblPr>
              <w:tblStyle w:val="TableGrid"/>
              <w:tblW w:w="0" w:type="auto"/>
              <w:tblLook w:val="04A0" w:firstRow="1" w:lastRow="0" w:firstColumn="1" w:lastColumn="0" w:noHBand="0" w:noVBand="1"/>
            </w:tblPr>
            <w:tblGrid>
              <w:gridCol w:w="3086"/>
              <w:gridCol w:w="3087"/>
              <w:gridCol w:w="3087"/>
            </w:tblGrid>
            <w:tr w:rsidR="000661CE" w14:paraId="3A3205F0" w14:textId="77777777" w:rsidTr="00F002FA">
              <w:tc>
                <w:tcPr>
                  <w:tcW w:w="3086" w:type="dxa"/>
                </w:tcPr>
                <w:p w14:paraId="46AEE4A0"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2022/23</w:t>
                  </w:r>
                </w:p>
              </w:tc>
              <w:tc>
                <w:tcPr>
                  <w:tcW w:w="3087" w:type="dxa"/>
                </w:tcPr>
                <w:p w14:paraId="3E859B01"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All</w:t>
                  </w:r>
                </w:p>
              </w:tc>
              <w:tc>
                <w:tcPr>
                  <w:tcW w:w="3087" w:type="dxa"/>
                </w:tcPr>
                <w:p w14:paraId="2698423E"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PP</w:t>
                  </w:r>
                </w:p>
              </w:tc>
            </w:tr>
            <w:tr w:rsidR="000661CE" w14:paraId="0EC44156" w14:textId="77777777" w:rsidTr="00F002FA">
              <w:tc>
                <w:tcPr>
                  <w:tcW w:w="3086" w:type="dxa"/>
                </w:tcPr>
                <w:p w14:paraId="2C1A919E"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ATT</w:t>
                  </w:r>
                </w:p>
              </w:tc>
              <w:tc>
                <w:tcPr>
                  <w:tcW w:w="3087" w:type="dxa"/>
                </w:tcPr>
                <w:p w14:paraId="1251348A"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94.8%</w:t>
                  </w:r>
                </w:p>
              </w:tc>
              <w:tc>
                <w:tcPr>
                  <w:tcW w:w="3087" w:type="dxa"/>
                </w:tcPr>
                <w:p w14:paraId="50595950"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93.3%</w:t>
                  </w:r>
                </w:p>
              </w:tc>
            </w:tr>
            <w:tr w:rsidR="000661CE" w14:paraId="1C36B2D3" w14:textId="77777777" w:rsidTr="00F002FA">
              <w:tc>
                <w:tcPr>
                  <w:tcW w:w="3086" w:type="dxa"/>
                </w:tcPr>
                <w:p w14:paraId="1A0B299B"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PA</w:t>
                  </w:r>
                </w:p>
              </w:tc>
              <w:tc>
                <w:tcPr>
                  <w:tcW w:w="3087" w:type="dxa"/>
                </w:tcPr>
                <w:p w14:paraId="3947DCFA"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12.7%</w:t>
                  </w:r>
                </w:p>
              </w:tc>
              <w:tc>
                <w:tcPr>
                  <w:tcW w:w="3087" w:type="dxa"/>
                </w:tcPr>
                <w:p w14:paraId="14F5291B"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18%</w:t>
                  </w:r>
                </w:p>
              </w:tc>
            </w:tr>
          </w:tbl>
          <w:p w14:paraId="7976FD19" w14:textId="77777777" w:rsidR="000661CE" w:rsidRDefault="000661CE" w:rsidP="000661CE">
            <w:pPr>
              <w:textAlignment w:val="baseline"/>
              <w:rPr>
                <w:rFonts w:eastAsia="Calibri" w:cs="Arial"/>
                <w:sz w:val="20"/>
                <w:szCs w:val="20"/>
              </w:rPr>
            </w:pPr>
          </w:p>
          <w:p w14:paraId="64D8ADFA" w14:textId="77777777" w:rsidR="000661CE" w:rsidRDefault="000661CE" w:rsidP="000661CE">
            <w:pPr>
              <w:textAlignment w:val="baseline"/>
              <w:rPr>
                <w:rFonts w:eastAsia="Calibri" w:cs="Arial"/>
                <w:sz w:val="20"/>
                <w:szCs w:val="20"/>
              </w:rPr>
            </w:pPr>
          </w:p>
          <w:tbl>
            <w:tblPr>
              <w:tblStyle w:val="TableGrid"/>
              <w:tblW w:w="0" w:type="auto"/>
              <w:tblLook w:val="04A0" w:firstRow="1" w:lastRow="0" w:firstColumn="1" w:lastColumn="0" w:noHBand="0" w:noVBand="1"/>
            </w:tblPr>
            <w:tblGrid>
              <w:gridCol w:w="3086"/>
              <w:gridCol w:w="3087"/>
              <w:gridCol w:w="3087"/>
            </w:tblGrid>
            <w:tr w:rsidR="000661CE" w14:paraId="2197518B" w14:textId="77777777" w:rsidTr="00F002FA">
              <w:tc>
                <w:tcPr>
                  <w:tcW w:w="3086" w:type="dxa"/>
                </w:tcPr>
                <w:p w14:paraId="6797406F"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2023/24</w:t>
                  </w:r>
                </w:p>
              </w:tc>
              <w:tc>
                <w:tcPr>
                  <w:tcW w:w="3087" w:type="dxa"/>
                </w:tcPr>
                <w:p w14:paraId="308FE2C1"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All</w:t>
                  </w:r>
                </w:p>
              </w:tc>
              <w:tc>
                <w:tcPr>
                  <w:tcW w:w="3087" w:type="dxa"/>
                </w:tcPr>
                <w:p w14:paraId="1AFAC654"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PP</w:t>
                  </w:r>
                </w:p>
              </w:tc>
            </w:tr>
            <w:tr w:rsidR="000661CE" w14:paraId="074F17F9" w14:textId="77777777" w:rsidTr="00F002FA">
              <w:tc>
                <w:tcPr>
                  <w:tcW w:w="3086" w:type="dxa"/>
                </w:tcPr>
                <w:p w14:paraId="452010D8"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ATT</w:t>
                  </w:r>
                </w:p>
              </w:tc>
              <w:tc>
                <w:tcPr>
                  <w:tcW w:w="3087" w:type="dxa"/>
                </w:tcPr>
                <w:p w14:paraId="7A331604"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95.5%</w:t>
                  </w:r>
                </w:p>
              </w:tc>
              <w:tc>
                <w:tcPr>
                  <w:tcW w:w="3087" w:type="dxa"/>
                </w:tcPr>
                <w:p w14:paraId="14E098B5"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93.9%</w:t>
                  </w:r>
                </w:p>
              </w:tc>
            </w:tr>
            <w:tr w:rsidR="000661CE" w14:paraId="591049FB" w14:textId="77777777" w:rsidTr="00F002FA">
              <w:tc>
                <w:tcPr>
                  <w:tcW w:w="3086" w:type="dxa"/>
                </w:tcPr>
                <w:p w14:paraId="00575220"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PA</w:t>
                  </w:r>
                </w:p>
              </w:tc>
              <w:tc>
                <w:tcPr>
                  <w:tcW w:w="3087" w:type="dxa"/>
                </w:tcPr>
                <w:p w14:paraId="30F63E9D"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9.3%</w:t>
                  </w:r>
                </w:p>
              </w:tc>
              <w:tc>
                <w:tcPr>
                  <w:tcW w:w="3087" w:type="dxa"/>
                </w:tcPr>
                <w:p w14:paraId="71CCCE39" w14:textId="77777777" w:rsidR="000661CE" w:rsidRDefault="000661CE" w:rsidP="000661CE">
                  <w:pPr>
                    <w:framePr w:hSpace="180" w:wrap="around" w:vAnchor="page" w:hAnchor="margin" w:y="661"/>
                    <w:textAlignment w:val="baseline"/>
                    <w:rPr>
                      <w:rFonts w:eastAsia="Calibri" w:cs="Arial"/>
                      <w:sz w:val="20"/>
                      <w:szCs w:val="20"/>
                    </w:rPr>
                  </w:pPr>
                  <w:r>
                    <w:rPr>
                      <w:rFonts w:eastAsia="Calibri" w:cs="Arial"/>
                      <w:sz w:val="20"/>
                      <w:szCs w:val="20"/>
                    </w:rPr>
                    <w:t>20.9%</w:t>
                  </w:r>
                </w:p>
              </w:tc>
            </w:tr>
          </w:tbl>
          <w:p w14:paraId="60F303F7" w14:textId="77777777" w:rsidR="000661CE" w:rsidRDefault="000661CE" w:rsidP="000661CE">
            <w:pPr>
              <w:textAlignment w:val="baseline"/>
              <w:rPr>
                <w:rFonts w:eastAsia="Calibri" w:cs="Arial"/>
                <w:sz w:val="20"/>
                <w:szCs w:val="20"/>
              </w:rPr>
            </w:pPr>
          </w:p>
          <w:p w14:paraId="65EBF624" w14:textId="77777777" w:rsidR="000661CE" w:rsidRDefault="000661CE" w:rsidP="000661CE">
            <w:pPr>
              <w:textAlignment w:val="baseline"/>
              <w:rPr>
                <w:rFonts w:eastAsia="Calibri" w:cs="Arial"/>
                <w:sz w:val="20"/>
                <w:szCs w:val="20"/>
              </w:rPr>
            </w:pPr>
            <w:r>
              <w:rPr>
                <w:rFonts w:eastAsia="Calibri" w:cs="Arial"/>
                <w:sz w:val="20"/>
                <w:szCs w:val="20"/>
              </w:rPr>
              <w:t>After school activities</w:t>
            </w:r>
          </w:p>
          <w:p w14:paraId="284EB3FF" w14:textId="77777777" w:rsidR="000661CE" w:rsidRDefault="000661CE" w:rsidP="000661CE">
            <w:pPr>
              <w:textAlignment w:val="baseline"/>
              <w:rPr>
                <w:rFonts w:eastAsia="Calibri" w:cs="Arial"/>
                <w:sz w:val="20"/>
                <w:szCs w:val="20"/>
              </w:rPr>
            </w:pPr>
            <w:r>
              <w:rPr>
                <w:rFonts w:eastAsia="Calibri" w:cs="Arial"/>
                <w:sz w:val="20"/>
                <w:szCs w:val="20"/>
              </w:rPr>
              <w:t>A free after school activity has been given to all PP pupils. 35% of our PP pupils attended an activity in school.</w:t>
            </w:r>
          </w:p>
          <w:p w14:paraId="6E5C0D35" w14:textId="77777777" w:rsidR="000661CE" w:rsidRDefault="000661CE" w:rsidP="000661CE">
            <w:pPr>
              <w:textAlignment w:val="baseline"/>
              <w:rPr>
                <w:rFonts w:eastAsia="Calibri" w:cs="Arial"/>
                <w:sz w:val="20"/>
                <w:szCs w:val="20"/>
              </w:rPr>
            </w:pPr>
          </w:p>
          <w:p w14:paraId="5C73A6B5" w14:textId="77777777" w:rsidR="000661CE" w:rsidRDefault="000661CE" w:rsidP="000661CE">
            <w:pPr>
              <w:textAlignment w:val="baseline"/>
              <w:rPr>
                <w:rFonts w:eastAsia="Calibri" w:cs="Arial"/>
                <w:sz w:val="20"/>
                <w:szCs w:val="20"/>
              </w:rPr>
            </w:pPr>
            <w:r>
              <w:rPr>
                <w:rFonts w:eastAsia="Calibri" w:cs="Arial"/>
                <w:sz w:val="20"/>
                <w:szCs w:val="20"/>
              </w:rPr>
              <w:t>Thrive interventions and SEMH</w:t>
            </w:r>
          </w:p>
          <w:p w14:paraId="5BCF62B7" w14:textId="77777777" w:rsidR="000661CE" w:rsidRDefault="000661CE" w:rsidP="000661CE">
            <w:pPr>
              <w:textAlignment w:val="baseline"/>
              <w:rPr>
                <w:rFonts w:eastAsia="Calibri" w:cs="Arial"/>
                <w:sz w:val="20"/>
                <w:szCs w:val="20"/>
              </w:rPr>
            </w:pPr>
          </w:p>
          <w:p w14:paraId="3E0AF513" w14:textId="77777777" w:rsidR="000661CE" w:rsidRPr="0097750F" w:rsidRDefault="000661CE" w:rsidP="000661CE">
            <w:pPr>
              <w:textAlignment w:val="baseline"/>
              <w:rPr>
                <w:rFonts w:eastAsia="Calibri" w:cs="Arial"/>
                <w:sz w:val="20"/>
                <w:szCs w:val="20"/>
              </w:rPr>
            </w:pPr>
            <w:r>
              <w:rPr>
                <w:rFonts w:eastAsia="Calibri" w:cs="Arial"/>
                <w:sz w:val="20"/>
                <w:szCs w:val="20"/>
              </w:rPr>
              <w:t>Since the pandemic, the school has noticed an increase in pupils with SEMH needs. As a result, a member of staff has been trained as a lead thrive practitioner. Other members of staff have subsequently been trained to deliver the intervention. Pupils are assed across 5 strands and progress is monitored termly. 44 pupils accessed this intervention. All pupils made progress from their baseline assessments.23 pupils have progressed to the next stand. 5 pupils have completed the programme</w:t>
            </w:r>
          </w:p>
        </w:tc>
      </w:tr>
    </w:tbl>
    <w:p w14:paraId="2A7D5564" w14:textId="1572CD82" w:rsidR="00E66558" w:rsidRDefault="00E66558" w:rsidP="0097750F">
      <w:pPr>
        <w:pStyle w:val="Heading1"/>
      </w:pPr>
      <w:bookmarkStart w:id="18" w:name="_GoBack"/>
      <w:bookmarkEnd w:id="18"/>
    </w:p>
    <w:p w14:paraId="1F76BEE7" w14:textId="77777777" w:rsidR="0097750F" w:rsidRDefault="0097750F"/>
    <w:sectPr w:rsidR="0097750F">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9414" w14:textId="77777777" w:rsidR="007A037A" w:rsidRDefault="007A037A">
      <w:pPr>
        <w:spacing w:after="0" w:line="240" w:lineRule="auto"/>
      </w:pPr>
      <w:r>
        <w:separator/>
      </w:r>
    </w:p>
  </w:endnote>
  <w:endnote w:type="continuationSeparator" w:id="0">
    <w:p w14:paraId="7FCF0ADC" w14:textId="77777777" w:rsidR="007A037A" w:rsidRDefault="007A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271DA81" w:rsidR="002D1D82" w:rsidRDefault="002D1D82" w:rsidP="17206FDB">
    <w:pPr>
      <w:pStyle w:val="TableRow"/>
    </w:pPr>
    <w:r>
      <w:fldChar w:fldCharType="begin"/>
    </w:r>
    <w:r>
      <w:instrText xml:space="preserve"> PAGE </w:instrText>
    </w:r>
    <w:r>
      <w:fldChar w:fldCharType="separate"/>
    </w:r>
    <w:r w:rsidR="000661CE">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4623" w14:textId="77777777" w:rsidR="007A037A" w:rsidRDefault="007A037A">
      <w:pPr>
        <w:spacing w:after="0" w:line="240" w:lineRule="auto"/>
      </w:pPr>
      <w:r>
        <w:separator/>
      </w:r>
    </w:p>
  </w:footnote>
  <w:footnote w:type="continuationSeparator" w:id="0">
    <w:p w14:paraId="2E58BC16" w14:textId="77777777" w:rsidR="007A037A" w:rsidRDefault="007A0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4EDEA285" w:rsidR="002D1D82" w:rsidRDefault="002D1D82" w:rsidP="17206FDB">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7C4"/>
    <w:multiLevelType w:val="hybridMultilevel"/>
    <w:tmpl w:val="499AF1B8"/>
    <w:lvl w:ilvl="0" w:tplc="0BE248A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54F5D77"/>
    <w:multiLevelType w:val="hybridMultilevel"/>
    <w:tmpl w:val="6180FDCC"/>
    <w:lvl w:ilvl="0" w:tplc="D6D400A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F20"/>
    <w:multiLevelType w:val="hybridMultilevel"/>
    <w:tmpl w:val="855E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01603"/>
    <w:multiLevelType w:val="hybridMultilevel"/>
    <w:tmpl w:val="D2767640"/>
    <w:lvl w:ilvl="0" w:tplc="9A9251C6">
      <w:start w:val="1"/>
      <w:numFmt w:val="bullet"/>
      <w:lvlText w:val="·"/>
      <w:lvlJc w:val="left"/>
      <w:pPr>
        <w:ind w:left="720" w:hanging="360"/>
      </w:pPr>
      <w:rPr>
        <w:rFonts w:ascii="Symbol" w:hAnsi="Symbol" w:hint="default"/>
      </w:rPr>
    </w:lvl>
    <w:lvl w:ilvl="1" w:tplc="74DEF984">
      <w:start w:val="1"/>
      <w:numFmt w:val="bullet"/>
      <w:lvlText w:val="o"/>
      <w:lvlJc w:val="left"/>
      <w:pPr>
        <w:ind w:left="1440" w:hanging="360"/>
      </w:pPr>
      <w:rPr>
        <w:rFonts w:ascii="Courier New" w:hAnsi="Courier New" w:hint="default"/>
      </w:rPr>
    </w:lvl>
    <w:lvl w:ilvl="2" w:tplc="CF28E84E">
      <w:start w:val="1"/>
      <w:numFmt w:val="bullet"/>
      <w:lvlText w:val=""/>
      <w:lvlJc w:val="left"/>
      <w:pPr>
        <w:ind w:left="2160" w:hanging="360"/>
      </w:pPr>
      <w:rPr>
        <w:rFonts w:ascii="Wingdings" w:hAnsi="Wingdings" w:hint="default"/>
      </w:rPr>
    </w:lvl>
    <w:lvl w:ilvl="3" w:tplc="94D058D4">
      <w:start w:val="1"/>
      <w:numFmt w:val="bullet"/>
      <w:lvlText w:val=""/>
      <w:lvlJc w:val="left"/>
      <w:pPr>
        <w:ind w:left="2880" w:hanging="360"/>
      </w:pPr>
      <w:rPr>
        <w:rFonts w:ascii="Symbol" w:hAnsi="Symbol" w:hint="default"/>
      </w:rPr>
    </w:lvl>
    <w:lvl w:ilvl="4" w:tplc="4AF06336">
      <w:start w:val="1"/>
      <w:numFmt w:val="bullet"/>
      <w:lvlText w:val="o"/>
      <w:lvlJc w:val="left"/>
      <w:pPr>
        <w:ind w:left="3600" w:hanging="360"/>
      </w:pPr>
      <w:rPr>
        <w:rFonts w:ascii="Courier New" w:hAnsi="Courier New" w:hint="default"/>
      </w:rPr>
    </w:lvl>
    <w:lvl w:ilvl="5" w:tplc="6636A5F4">
      <w:start w:val="1"/>
      <w:numFmt w:val="bullet"/>
      <w:lvlText w:val=""/>
      <w:lvlJc w:val="left"/>
      <w:pPr>
        <w:ind w:left="4320" w:hanging="360"/>
      </w:pPr>
      <w:rPr>
        <w:rFonts w:ascii="Wingdings" w:hAnsi="Wingdings" w:hint="default"/>
      </w:rPr>
    </w:lvl>
    <w:lvl w:ilvl="6" w:tplc="029E9F1C">
      <w:start w:val="1"/>
      <w:numFmt w:val="bullet"/>
      <w:lvlText w:val=""/>
      <w:lvlJc w:val="left"/>
      <w:pPr>
        <w:ind w:left="5040" w:hanging="360"/>
      </w:pPr>
      <w:rPr>
        <w:rFonts w:ascii="Symbol" w:hAnsi="Symbol" w:hint="default"/>
      </w:rPr>
    </w:lvl>
    <w:lvl w:ilvl="7" w:tplc="65C49266">
      <w:start w:val="1"/>
      <w:numFmt w:val="bullet"/>
      <w:lvlText w:val="o"/>
      <w:lvlJc w:val="left"/>
      <w:pPr>
        <w:ind w:left="5760" w:hanging="360"/>
      </w:pPr>
      <w:rPr>
        <w:rFonts w:ascii="Courier New" w:hAnsi="Courier New" w:hint="default"/>
      </w:rPr>
    </w:lvl>
    <w:lvl w:ilvl="8" w:tplc="EC6A25F8">
      <w:start w:val="1"/>
      <w:numFmt w:val="bullet"/>
      <w:lvlText w:val=""/>
      <w:lvlJc w:val="left"/>
      <w:pPr>
        <w:ind w:left="6480" w:hanging="360"/>
      </w:pPr>
      <w:rPr>
        <w:rFonts w:ascii="Wingdings" w:hAnsi="Wingdings" w:hint="default"/>
      </w:rPr>
    </w:lvl>
  </w:abstractNum>
  <w:abstractNum w:abstractNumId="4" w15:restartNumberingAfterBreak="0">
    <w:nsid w:val="0CBC3C69"/>
    <w:multiLevelType w:val="hybridMultilevel"/>
    <w:tmpl w:val="74D8F862"/>
    <w:lvl w:ilvl="0" w:tplc="82186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B2150F"/>
    <w:multiLevelType w:val="hybridMultilevel"/>
    <w:tmpl w:val="26DE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25F64"/>
    <w:multiLevelType w:val="hybridMultilevel"/>
    <w:tmpl w:val="AC3628E0"/>
    <w:lvl w:ilvl="0" w:tplc="82186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06F1B"/>
    <w:multiLevelType w:val="hybridMultilevel"/>
    <w:tmpl w:val="4F980904"/>
    <w:lvl w:ilvl="0" w:tplc="82186B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22D41"/>
    <w:multiLevelType w:val="hybridMultilevel"/>
    <w:tmpl w:val="04C0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1271621"/>
    <w:multiLevelType w:val="hybridMultilevel"/>
    <w:tmpl w:val="B2528FE8"/>
    <w:lvl w:ilvl="0" w:tplc="82186B48">
      <w:start w:val="1"/>
      <w:numFmt w:val="bullet"/>
      <w:lvlText w:val="·"/>
      <w:lvlJc w:val="left"/>
      <w:pPr>
        <w:ind w:left="720" w:hanging="360"/>
      </w:pPr>
      <w:rPr>
        <w:rFonts w:ascii="Symbol" w:hAnsi="Symbol" w:hint="default"/>
      </w:rPr>
    </w:lvl>
    <w:lvl w:ilvl="1" w:tplc="39A24DA2">
      <w:start w:val="1"/>
      <w:numFmt w:val="bullet"/>
      <w:lvlText w:val="o"/>
      <w:lvlJc w:val="left"/>
      <w:pPr>
        <w:ind w:left="1440" w:hanging="360"/>
      </w:pPr>
      <w:rPr>
        <w:rFonts w:ascii="Courier New" w:hAnsi="Courier New" w:hint="default"/>
      </w:rPr>
    </w:lvl>
    <w:lvl w:ilvl="2" w:tplc="B36CCE6C">
      <w:start w:val="1"/>
      <w:numFmt w:val="bullet"/>
      <w:lvlText w:val=""/>
      <w:lvlJc w:val="left"/>
      <w:pPr>
        <w:ind w:left="2160" w:hanging="360"/>
      </w:pPr>
      <w:rPr>
        <w:rFonts w:ascii="Wingdings" w:hAnsi="Wingdings" w:hint="default"/>
      </w:rPr>
    </w:lvl>
    <w:lvl w:ilvl="3" w:tplc="9392B830">
      <w:start w:val="1"/>
      <w:numFmt w:val="bullet"/>
      <w:lvlText w:val=""/>
      <w:lvlJc w:val="left"/>
      <w:pPr>
        <w:ind w:left="2880" w:hanging="360"/>
      </w:pPr>
      <w:rPr>
        <w:rFonts w:ascii="Symbol" w:hAnsi="Symbol" w:hint="default"/>
      </w:rPr>
    </w:lvl>
    <w:lvl w:ilvl="4" w:tplc="B5BEE7B0">
      <w:start w:val="1"/>
      <w:numFmt w:val="bullet"/>
      <w:lvlText w:val="o"/>
      <w:lvlJc w:val="left"/>
      <w:pPr>
        <w:ind w:left="3600" w:hanging="360"/>
      </w:pPr>
      <w:rPr>
        <w:rFonts w:ascii="Courier New" w:hAnsi="Courier New" w:hint="default"/>
      </w:rPr>
    </w:lvl>
    <w:lvl w:ilvl="5" w:tplc="CCE89E74">
      <w:start w:val="1"/>
      <w:numFmt w:val="bullet"/>
      <w:lvlText w:val=""/>
      <w:lvlJc w:val="left"/>
      <w:pPr>
        <w:ind w:left="4320" w:hanging="360"/>
      </w:pPr>
      <w:rPr>
        <w:rFonts w:ascii="Wingdings" w:hAnsi="Wingdings" w:hint="default"/>
      </w:rPr>
    </w:lvl>
    <w:lvl w:ilvl="6" w:tplc="742422EC">
      <w:start w:val="1"/>
      <w:numFmt w:val="bullet"/>
      <w:lvlText w:val=""/>
      <w:lvlJc w:val="left"/>
      <w:pPr>
        <w:ind w:left="5040" w:hanging="360"/>
      </w:pPr>
      <w:rPr>
        <w:rFonts w:ascii="Symbol" w:hAnsi="Symbol" w:hint="default"/>
      </w:rPr>
    </w:lvl>
    <w:lvl w:ilvl="7" w:tplc="3A74EBFC">
      <w:start w:val="1"/>
      <w:numFmt w:val="bullet"/>
      <w:lvlText w:val="o"/>
      <w:lvlJc w:val="left"/>
      <w:pPr>
        <w:ind w:left="5760" w:hanging="360"/>
      </w:pPr>
      <w:rPr>
        <w:rFonts w:ascii="Courier New" w:hAnsi="Courier New" w:hint="default"/>
      </w:rPr>
    </w:lvl>
    <w:lvl w:ilvl="8" w:tplc="D8FA6FC0">
      <w:start w:val="1"/>
      <w:numFmt w:val="bullet"/>
      <w:lvlText w:val=""/>
      <w:lvlJc w:val="left"/>
      <w:pPr>
        <w:ind w:left="6480" w:hanging="360"/>
      </w:pPr>
      <w:rPr>
        <w:rFonts w:ascii="Wingdings" w:hAnsi="Wingdings" w:hint="default"/>
      </w:rPr>
    </w:lvl>
  </w:abstractNum>
  <w:abstractNum w:abstractNumId="18" w15:restartNumberingAfterBreak="0">
    <w:nsid w:val="54DB1E81"/>
    <w:multiLevelType w:val="hybridMultilevel"/>
    <w:tmpl w:val="0F48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F46FF"/>
    <w:multiLevelType w:val="hybridMultilevel"/>
    <w:tmpl w:val="BB50820A"/>
    <w:lvl w:ilvl="0" w:tplc="82186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D7901"/>
    <w:multiLevelType w:val="hybridMultilevel"/>
    <w:tmpl w:val="D7A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F5DDF"/>
    <w:multiLevelType w:val="hybridMultilevel"/>
    <w:tmpl w:val="F3C4680A"/>
    <w:lvl w:ilvl="0" w:tplc="82186B4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F61851"/>
    <w:multiLevelType w:val="hybridMultilevel"/>
    <w:tmpl w:val="DAD6C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4733E"/>
    <w:multiLevelType w:val="hybridMultilevel"/>
    <w:tmpl w:val="AB44CDFA"/>
    <w:lvl w:ilvl="0" w:tplc="82186B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11"/>
  </w:num>
  <w:num w:numId="5">
    <w:abstractNumId w:val="5"/>
  </w:num>
  <w:num w:numId="6">
    <w:abstractNumId w:val="16"/>
  </w:num>
  <w:num w:numId="7">
    <w:abstractNumId w:val="26"/>
  </w:num>
  <w:num w:numId="8">
    <w:abstractNumId w:val="30"/>
  </w:num>
  <w:num w:numId="9">
    <w:abstractNumId w:val="28"/>
  </w:num>
  <w:num w:numId="10">
    <w:abstractNumId w:val="27"/>
  </w:num>
  <w:num w:numId="11">
    <w:abstractNumId w:val="8"/>
  </w:num>
  <w:num w:numId="12">
    <w:abstractNumId w:val="29"/>
  </w:num>
  <w:num w:numId="13">
    <w:abstractNumId w:val="22"/>
  </w:num>
  <w:num w:numId="14">
    <w:abstractNumId w:val="31"/>
  </w:num>
  <w:num w:numId="15">
    <w:abstractNumId w:val="24"/>
  </w:num>
  <w:num w:numId="16">
    <w:abstractNumId w:val="23"/>
  </w:num>
  <w:num w:numId="17">
    <w:abstractNumId w:val="18"/>
  </w:num>
  <w:num w:numId="18">
    <w:abstractNumId w:val="2"/>
  </w:num>
  <w:num w:numId="19">
    <w:abstractNumId w:val="17"/>
  </w:num>
  <w:num w:numId="20">
    <w:abstractNumId w:val="3"/>
  </w:num>
  <w:num w:numId="21">
    <w:abstractNumId w:val="0"/>
  </w:num>
  <w:num w:numId="22">
    <w:abstractNumId w:val="15"/>
  </w:num>
  <w:num w:numId="23">
    <w:abstractNumId w:val="4"/>
  </w:num>
  <w:num w:numId="24">
    <w:abstractNumId w:val="20"/>
  </w:num>
  <w:num w:numId="25">
    <w:abstractNumId w:val="25"/>
  </w:num>
  <w:num w:numId="26">
    <w:abstractNumId w:val="19"/>
  </w:num>
  <w:num w:numId="27">
    <w:abstractNumId w:val="21"/>
  </w:num>
  <w:num w:numId="28">
    <w:abstractNumId w:val="14"/>
  </w:num>
  <w:num w:numId="29">
    <w:abstractNumId w:val="13"/>
  </w:num>
  <w:num w:numId="30">
    <w:abstractNumId w:val="12"/>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89A"/>
    <w:rsid w:val="00005ECC"/>
    <w:rsid w:val="000275DF"/>
    <w:rsid w:val="00032B48"/>
    <w:rsid w:val="0004053C"/>
    <w:rsid w:val="000576D2"/>
    <w:rsid w:val="000661CE"/>
    <w:rsid w:val="00066B73"/>
    <w:rsid w:val="00075F74"/>
    <w:rsid w:val="000C50C7"/>
    <w:rsid w:val="001064F3"/>
    <w:rsid w:val="0011546C"/>
    <w:rsid w:val="00120AB1"/>
    <w:rsid w:val="0015457C"/>
    <w:rsid w:val="00183ED1"/>
    <w:rsid w:val="001A6862"/>
    <w:rsid w:val="001A6B87"/>
    <w:rsid w:val="001B5EEB"/>
    <w:rsid w:val="001C2725"/>
    <w:rsid w:val="001E06E6"/>
    <w:rsid w:val="00220FAF"/>
    <w:rsid w:val="00225494"/>
    <w:rsid w:val="00232741"/>
    <w:rsid w:val="00244591"/>
    <w:rsid w:val="002817E9"/>
    <w:rsid w:val="002B4543"/>
    <w:rsid w:val="002C0894"/>
    <w:rsid w:val="002C5223"/>
    <w:rsid w:val="002D1D82"/>
    <w:rsid w:val="002D5973"/>
    <w:rsid w:val="002E1D73"/>
    <w:rsid w:val="002E2DD0"/>
    <w:rsid w:val="002F1EA9"/>
    <w:rsid w:val="003132B3"/>
    <w:rsid w:val="003525D4"/>
    <w:rsid w:val="00353512"/>
    <w:rsid w:val="00360C6F"/>
    <w:rsid w:val="00371CBE"/>
    <w:rsid w:val="00382318"/>
    <w:rsid w:val="00382E4F"/>
    <w:rsid w:val="0039510D"/>
    <w:rsid w:val="003B0E42"/>
    <w:rsid w:val="003C6A9A"/>
    <w:rsid w:val="003C742A"/>
    <w:rsid w:val="003E3D01"/>
    <w:rsid w:val="004044AA"/>
    <w:rsid w:val="00436005"/>
    <w:rsid w:val="00436E4E"/>
    <w:rsid w:val="00453320"/>
    <w:rsid w:val="00453515"/>
    <w:rsid w:val="004735BE"/>
    <w:rsid w:val="004804FD"/>
    <w:rsid w:val="00483FC5"/>
    <w:rsid w:val="00485D92"/>
    <w:rsid w:val="00486B1E"/>
    <w:rsid w:val="00490887"/>
    <w:rsid w:val="00491D2D"/>
    <w:rsid w:val="004A5059"/>
    <w:rsid w:val="004A6CA9"/>
    <w:rsid w:val="004C536B"/>
    <w:rsid w:val="004D1095"/>
    <w:rsid w:val="004E26B0"/>
    <w:rsid w:val="004E2E63"/>
    <w:rsid w:val="00512457"/>
    <w:rsid w:val="005550DC"/>
    <w:rsid w:val="00585A10"/>
    <w:rsid w:val="00585F5C"/>
    <w:rsid w:val="005940B0"/>
    <w:rsid w:val="00597DE3"/>
    <w:rsid w:val="005B23CF"/>
    <w:rsid w:val="00602484"/>
    <w:rsid w:val="0060332F"/>
    <w:rsid w:val="0060595C"/>
    <w:rsid w:val="00644278"/>
    <w:rsid w:val="00644588"/>
    <w:rsid w:val="00661CC8"/>
    <w:rsid w:val="00674420"/>
    <w:rsid w:val="00675F93"/>
    <w:rsid w:val="00680C42"/>
    <w:rsid w:val="00681E82"/>
    <w:rsid w:val="00687E0D"/>
    <w:rsid w:val="00691D93"/>
    <w:rsid w:val="0069299F"/>
    <w:rsid w:val="006A2C81"/>
    <w:rsid w:val="006A7E5A"/>
    <w:rsid w:val="006C0489"/>
    <w:rsid w:val="006C2F30"/>
    <w:rsid w:val="006C4075"/>
    <w:rsid w:val="006D5851"/>
    <w:rsid w:val="006E7FB1"/>
    <w:rsid w:val="00701744"/>
    <w:rsid w:val="00721D6A"/>
    <w:rsid w:val="00734F30"/>
    <w:rsid w:val="00741B9E"/>
    <w:rsid w:val="00754041"/>
    <w:rsid w:val="00775319"/>
    <w:rsid w:val="00777D77"/>
    <w:rsid w:val="007A037A"/>
    <w:rsid w:val="007B562A"/>
    <w:rsid w:val="007C135E"/>
    <w:rsid w:val="007C2F04"/>
    <w:rsid w:val="007D03AC"/>
    <w:rsid w:val="007E767C"/>
    <w:rsid w:val="00802B15"/>
    <w:rsid w:val="00846234"/>
    <w:rsid w:val="00853A64"/>
    <w:rsid w:val="0088641C"/>
    <w:rsid w:val="00890E38"/>
    <w:rsid w:val="0089172B"/>
    <w:rsid w:val="008B32FD"/>
    <w:rsid w:val="008E1C00"/>
    <w:rsid w:val="008E2D30"/>
    <w:rsid w:val="008F1A90"/>
    <w:rsid w:val="00901BB1"/>
    <w:rsid w:val="0090224D"/>
    <w:rsid w:val="009077E0"/>
    <w:rsid w:val="00917A7C"/>
    <w:rsid w:val="00926ACF"/>
    <w:rsid w:val="0095383A"/>
    <w:rsid w:val="00975D50"/>
    <w:rsid w:val="0097750F"/>
    <w:rsid w:val="00981EC6"/>
    <w:rsid w:val="00984FC1"/>
    <w:rsid w:val="00993BAC"/>
    <w:rsid w:val="00994310"/>
    <w:rsid w:val="00997F2B"/>
    <w:rsid w:val="009C741A"/>
    <w:rsid w:val="009D71E8"/>
    <w:rsid w:val="009E0E87"/>
    <w:rsid w:val="009F52C3"/>
    <w:rsid w:val="009F531A"/>
    <w:rsid w:val="009F72B0"/>
    <w:rsid w:val="00A17833"/>
    <w:rsid w:val="00A3002D"/>
    <w:rsid w:val="00A55DC8"/>
    <w:rsid w:val="00A62EFB"/>
    <w:rsid w:val="00A8589A"/>
    <w:rsid w:val="00A97FBE"/>
    <w:rsid w:val="00AA6CE3"/>
    <w:rsid w:val="00AB29F5"/>
    <w:rsid w:val="00AB31B2"/>
    <w:rsid w:val="00AC2EC3"/>
    <w:rsid w:val="00AC5F7F"/>
    <w:rsid w:val="00AD7D9A"/>
    <w:rsid w:val="00AF2A77"/>
    <w:rsid w:val="00AF3B0D"/>
    <w:rsid w:val="00AF3EDA"/>
    <w:rsid w:val="00AF47F8"/>
    <w:rsid w:val="00B17C48"/>
    <w:rsid w:val="00B3660A"/>
    <w:rsid w:val="00B40F18"/>
    <w:rsid w:val="00B872A3"/>
    <w:rsid w:val="00B951AA"/>
    <w:rsid w:val="00BB444B"/>
    <w:rsid w:val="00BC4B7E"/>
    <w:rsid w:val="00BC5DB6"/>
    <w:rsid w:val="00BD5CA1"/>
    <w:rsid w:val="00BE7FE0"/>
    <w:rsid w:val="00BF145E"/>
    <w:rsid w:val="00BF4923"/>
    <w:rsid w:val="00C00A56"/>
    <w:rsid w:val="00C15FE2"/>
    <w:rsid w:val="00C32C5E"/>
    <w:rsid w:val="00C363F5"/>
    <w:rsid w:val="00C37B54"/>
    <w:rsid w:val="00C5017F"/>
    <w:rsid w:val="00C628E1"/>
    <w:rsid w:val="00C87A17"/>
    <w:rsid w:val="00CD26FC"/>
    <w:rsid w:val="00CE76EC"/>
    <w:rsid w:val="00D134BE"/>
    <w:rsid w:val="00D243BB"/>
    <w:rsid w:val="00D33FE5"/>
    <w:rsid w:val="00D368D2"/>
    <w:rsid w:val="00DD4064"/>
    <w:rsid w:val="00DE2587"/>
    <w:rsid w:val="00DF322E"/>
    <w:rsid w:val="00DF335D"/>
    <w:rsid w:val="00E66558"/>
    <w:rsid w:val="00E73A69"/>
    <w:rsid w:val="00E942C8"/>
    <w:rsid w:val="00EA0A39"/>
    <w:rsid w:val="00EA5344"/>
    <w:rsid w:val="00EB7531"/>
    <w:rsid w:val="00ED2E49"/>
    <w:rsid w:val="00EE413A"/>
    <w:rsid w:val="00F22BCC"/>
    <w:rsid w:val="00F4085F"/>
    <w:rsid w:val="00F65F96"/>
    <w:rsid w:val="00F95333"/>
    <w:rsid w:val="00FA247B"/>
    <w:rsid w:val="00FB5E4F"/>
    <w:rsid w:val="00FC5384"/>
    <w:rsid w:val="00FC595D"/>
    <w:rsid w:val="17206FDB"/>
    <w:rsid w:val="183E55BB"/>
    <w:rsid w:val="3E9C5BFE"/>
    <w:rsid w:val="4A480EED"/>
    <w:rsid w:val="673AF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D90E35D4-2AF0-4A84-B63F-BA2C825E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B1E"/>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15457C"/>
    <w:pPr>
      <w:autoSpaceDN/>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91D93"/>
    <w:pPr>
      <w:suppressAutoHyphens w:val="0"/>
      <w:autoSpaceDN/>
      <w:spacing w:before="100" w:beforeAutospacing="1" w:after="100" w:afterAutospacing="1" w:line="240" w:lineRule="auto"/>
    </w:pPr>
    <w:rPr>
      <w:rFonts w:ascii="Times New Roman" w:hAnsi="Times New Roman"/>
      <w:color w:val="auto"/>
    </w:rPr>
  </w:style>
  <w:style w:type="character" w:customStyle="1" w:styleId="eop">
    <w:name w:val="eop"/>
    <w:basedOn w:val="DefaultParagraphFont"/>
    <w:rsid w:val="002F1EA9"/>
  </w:style>
  <w:style w:type="character" w:customStyle="1" w:styleId="ListParagraphChar">
    <w:name w:val="List Paragraph Char"/>
    <w:aliases w:val="NumberedList Char,Colorful List - Accent 11 Char"/>
    <w:link w:val="ListParagraph"/>
    <w:uiPriority w:val="34"/>
    <w:rsid w:val="00F4085F"/>
    <w:rPr>
      <w:color w:val="0D0D0D"/>
      <w:sz w:val="24"/>
      <w:szCs w:val="24"/>
    </w:rPr>
  </w:style>
  <w:style w:type="table" w:styleId="TableGrid">
    <w:name w:val="Table Grid"/>
    <w:basedOn w:val="TableNormal"/>
    <w:uiPriority w:val="39"/>
    <w:rsid w:val="002D1D8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6969">
      <w:bodyDiv w:val="1"/>
      <w:marLeft w:val="0"/>
      <w:marRight w:val="0"/>
      <w:marTop w:val="0"/>
      <w:marBottom w:val="0"/>
      <w:divBdr>
        <w:top w:val="none" w:sz="0" w:space="0" w:color="auto"/>
        <w:left w:val="none" w:sz="0" w:space="0" w:color="auto"/>
        <w:bottom w:val="none" w:sz="0" w:space="0" w:color="auto"/>
        <w:right w:val="none" w:sz="0" w:space="0" w:color="auto"/>
      </w:divBdr>
    </w:div>
    <w:div w:id="196939029">
      <w:bodyDiv w:val="1"/>
      <w:marLeft w:val="0"/>
      <w:marRight w:val="0"/>
      <w:marTop w:val="0"/>
      <w:marBottom w:val="0"/>
      <w:divBdr>
        <w:top w:val="none" w:sz="0" w:space="0" w:color="auto"/>
        <w:left w:val="none" w:sz="0" w:space="0" w:color="auto"/>
        <w:bottom w:val="none" w:sz="0" w:space="0" w:color="auto"/>
        <w:right w:val="none" w:sz="0" w:space="0" w:color="auto"/>
      </w:divBdr>
    </w:div>
    <w:div w:id="203491239">
      <w:bodyDiv w:val="1"/>
      <w:marLeft w:val="0"/>
      <w:marRight w:val="0"/>
      <w:marTop w:val="0"/>
      <w:marBottom w:val="0"/>
      <w:divBdr>
        <w:top w:val="none" w:sz="0" w:space="0" w:color="auto"/>
        <w:left w:val="none" w:sz="0" w:space="0" w:color="auto"/>
        <w:bottom w:val="none" w:sz="0" w:space="0" w:color="auto"/>
        <w:right w:val="none" w:sz="0" w:space="0" w:color="auto"/>
      </w:divBdr>
    </w:div>
    <w:div w:id="260451157">
      <w:bodyDiv w:val="1"/>
      <w:marLeft w:val="0"/>
      <w:marRight w:val="0"/>
      <w:marTop w:val="0"/>
      <w:marBottom w:val="0"/>
      <w:divBdr>
        <w:top w:val="none" w:sz="0" w:space="0" w:color="auto"/>
        <w:left w:val="none" w:sz="0" w:space="0" w:color="auto"/>
        <w:bottom w:val="none" w:sz="0" w:space="0" w:color="auto"/>
        <w:right w:val="none" w:sz="0" w:space="0" w:color="auto"/>
      </w:divBdr>
    </w:div>
    <w:div w:id="492796955">
      <w:bodyDiv w:val="1"/>
      <w:marLeft w:val="0"/>
      <w:marRight w:val="0"/>
      <w:marTop w:val="0"/>
      <w:marBottom w:val="0"/>
      <w:divBdr>
        <w:top w:val="none" w:sz="0" w:space="0" w:color="auto"/>
        <w:left w:val="none" w:sz="0" w:space="0" w:color="auto"/>
        <w:bottom w:val="none" w:sz="0" w:space="0" w:color="auto"/>
        <w:right w:val="none" w:sz="0" w:space="0" w:color="auto"/>
      </w:divBdr>
    </w:div>
    <w:div w:id="747077489">
      <w:bodyDiv w:val="1"/>
      <w:marLeft w:val="0"/>
      <w:marRight w:val="0"/>
      <w:marTop w:val="0"/>
      <w:marBottom w:val="0"/>
      <w:divBdr>
        <w:top w:val="none" w:sz="0" w:space="0" w:color="auto"/>
        <w:left w:val="none" w:sz="0" w:space="0" w:color="auto"/>
        <w:bottom w:val="none" w:sz="0" w:space="0" w:color="auto"/>
        <w:right w:val="none" w:sz="0" w:space="0" w:color="auto"/>
      </w:divBdr>
    </w:div>
    <w:div w:id="850023441">
      <w:bodyDiv w:val="1"/>
      <w:marLeft w:val="0"/>
      <w:marRight w:val="0"/>
      <w:marTop w:val="0"/>
      <w:marBottom w:val="0"/>
      <w:divBdr>
        <w:top w:val="none" w:sz="0" w:space="0" w:color="auto"/>
        <w:left w:val="none" w:sz="0" w:space="0" w:color="auto"/>
        <w:bottom w:val="none" w:sz="0" w:space="0" w:color="auto"/>
        <w:right w:val="none" w:sz="0" w:space="0" w:color="auto"/>
      </w:divBdr>
    </w:div>
    <w:div w:id="1124885571">
      <w:bodyDiv w:val="1"/>
      <w:marLeft w:val="0"/>
      <w:marRight w:val="0"/>
      <w:marTop w:val="0"/>
      <w:marBottom w:val="0"/>
      <w:divBdr>
        <w:top w:val="none" w:sz="0" w:space="0" w:color="auto"/>
        <w:left w:val="none" w:sz="0" w:space="0" w:color="auto"/>
        <w:bottom w:val="none" w:sz="0" w:space="0" w:color="auto"/>
        <w:right w:val="none" w:sz="0" w:space="0" w:color="auto"/>
      </w:divBdr>
    </w:div>
    <w:div w:id="1187792071">
      <w:bodyDiv w:val="1"/>
      <w:marLeft w:val="0"/>
      <w:marRight w:val="0"/>
      <w:marTop w:val="0"/>
      <w:marBottom w:val="0"/>
      <w:divBdr>
        <w:top w:val="none" w:sz="0" w:space="0" w:color="auto"/>
        <w:left w:val="none" w:sz="0" w:space="0" w:color="auto"/>
        <w:bottom w:val="none" w:sz="0" w:space="0" w:color="auto"/>
        <w:right w:val="none" w:sz="0" w:space="0" w:color="auto"/>
      </w:divBdr>
    </w:div>
    <w:div w:id="1505587652">
      <w:bodyDiv w:val="1"/>
      <w:marLeft w:val="0"/>
      <w:marRight w:val="0"/>
      <w:marTop w:val="0"/>
      <w:marBottom w:val="0"/>
      <w:divBdr>
        <w:top w:val="none" w:sz="0" w:space="0" w:color="auto"/>
        <w:left w:val="none" w:sz="0" w:space="0" w:color="auto"/>
        <w:bottom w:val="none" w:sz="0" w:space="0" w:color="auto"/>
        <w:right w:val="none" w:sz="0" w:space="0" w:color="auto"/>
      </w:divBdr>
    </w:div>
    <w:div w:id="1506827054">
      <w:bodyDiv w:val="1"/>
      <w:marLeft w:val="0"/>
      <w:marRight w:val="0"/>
      <w:marTop w:val="0"/>
      <w:marBottom w:val="0"/>
      <w:divBdr>
        <w:top w:val="none" w:sz="0" w:space="0" w:color="auto"/>
        <w:left w:val="none" w:sz="0" w:space="0" w:color="auto"/>
        <w:bottom w:val="none" w:sz="0" w:space="0" w:color="auto"/>
        <w:right w:val="none" w:sz="0" w:space="0" w:color="auto"/>
      </w:divBdr>
    </w:div>
    <w:div w:id="1615475914">
      <w:bodyDiv w:val="1"/>
      <w:marLeft w:val="0"/>
      <w:marRight w:val="0"/>
      <w:marTop w:val="0"/>
      <w:marBottom w:val="0"/>
      <w:divBdr>
        <w:top w:val="none" w:sz="0" w:space="0" w:color="auto"/>
        <w:left w:val="none" w:sz="0" w:space="0" w:color="auto"/>
        <w:bottom w:val="none" w:sz="0" w:space="0" w:color="auto"/>
        <w:right w:val="none" w:sz="0" w:space="0" w:color="auto"/>
      </w:divBdr>
    </w:div>
    <w:div w:id="1867325211">
      <w:bodyDiv w:val="1"/>
      <w:marLeft w:val="0"/>
      <w:marRight w:val="0"/>
      <w:marTop w:val="0"/>
      <w:marBottom w:val="0"/>
      <w:divBdr>
        <w:top w:val="none" w:sz="0" w:space="0" w:color="auto"/>
        <w:left w:val="none" w:sz="0" w:space="0" w:color="auto"/>
        <w:bottom w:val="none" w:sz="0" w:space="0" w:color="auto"/>
        <w:right w:val="none" w:sz="0" w:space="0" w:color="auto"/>
      </w:divBdr>
    </w:div>
    <w:div w:id="2009402279">
      <w:bodyDiv w:val="1"/>
      <w:marLeft w:val="0"/>
      <w:marRight w:val="0"/>
      <w:marTop w:val="0"/>
      <w:marBottom w:val="0"/>
      <w:divBdr>
        <w:top w:val="none" w:sz="0" w:space="0" w:color="auto"/>
        <w:left w:val="none" w:sz="0" w:space="0" w:color="auto"/>
        <w:bottom w:val="none" w:sz="0" w:space="0" w:color="auto"/>
        <w:right w:val="none" w:sz="0" w:space="0" w:color="auto"/>
      </w:divBdr>
    </w:div>
    <w:div w:id="2055960915">
      <w:bodyDiv w:val="1"/>
      <w:marLeft w:val="0"/>
      <w:marRight w:val="0"/>
      <w:marTop w:val="0"/>
      <w:marBottom w:val="0"/>
      <w:divBdr>
        <w:top w:val="none" w:sz="0" w:space="0" w:color="auto"/>
        <w:left w:val="none" w:sz="0" w:space="0" w:color="auto"/>
        <w:bottom w:val="none" w:sz="0" w:space="0" w:color="auto"/>
        <w:right w:val="none" w:sz="0" w:space="0" w:color="auto"/>
      </w:divBdr>
    </w:div>
    <w:div w:id="2104758369">
      <w:bodyDiv w:val="1"/>
      <w:marLeft w:val="0"/>
      <w:marRight w:val="0"/>
      <w:marTop w:val="0"/>
      <w:marBottom w:val="0"/>
      <w:divBdr>
        <w:top w:val="none" w:sz="0" w:space="0" w:color="auto"/>
        <w:left w:val="none" w:sz="0" w:space="0" w:color="auto"/>
        <w:bottom w:val="none" w:sz="0" w:space="0" w:color="auto"/>
        <w:right w:val="none" w:sz="0" w:space="0" w:color="auto"/>
      </w:divBdr>
    </w:div>
    <w:div w:id="212796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pupil-premium-how-schools-are-spending-the-funding-successfully"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vidence-summaries/teaching-learning-toolkit/arts-participation/"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behaviour-interven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ttontrust.com/wp-content/uploads/2011/09/2teachers-impact-report-final.pdf" TargetMode="External"/><Relationship Id="rId17" Type="http://schemas.openxmlformats.org/officeDocument/2006/relationships/hyperlink" Target="https://educationendowmentfoundation.org.uk/evidence-summaries/teaching-learning-toolkit/reading-comprehension-strategies/" TargetMode="External"/><Relationship Id="rId25" Type="http://schemas.openxmlformats.org/officeDocument/2006/relationships/hyperlink" Target="https://www.gov.uk/government/publications/the-pupil-premium-how-schools-are-spending-the-funding-successfull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oral-language-interventions/" TargetMode="External"/><Relationship Id="rId20" Type="http://schemas.openxmlformats.org/officeDocument/2006/relationships/hyperlink" Target="http://scholarworks.umass.edu/dissertations/AAI3179892/" TargetMode="External"/><Relationship Id="rId29"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dbox.educationendowmentfoundation.org.uk/guidance-for-teachers/covid-19-resources/best-evidence-on-impact-of-covid-19-on-pupil-attainment" TargetMode="External"/><Relationship Id="rId24" Type="http://schemas.openxmlformats.org/officeDocument/2006/relationships/hyperlink" Target="https://www.gov.uk/government/publications/the-pupil-premium-how-schools-are-spending-the-funding-successfull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reading-comprehension-strategies/" TargetMode="External"/><Relationship Id="rId23" Type="http://schemas.openxmlformats.org/officeDocument/2006/relationships/hyperlink" Target="https://www.ruthmiskin.com/en/programmes/fresh-start/" TargetMode="External"/><Relationship Id="rId28"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teaching-assistant-intervent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social-and-emotional-learning?" TargetMode="External"/><Relationship Id="rId22" Type="http://schemas.openxmlformats.org/officeDocument/2006/relationships/hyperlink" Target="https://educationendowmentfoundation.org.uk/evidence-summaries/teaching-learning-toolkit/individualised-instruction/"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www.gov.uk/government/publications/school-culture-and-practice-supporting-disadvantaged-pup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e4f23f-7bfa-42a2-b35b-1325adb8ae28">
      <Terms xmlns="http://schemas.microsoft.com/office/infopath/2007/PartnerControls"/>
    </lcf76f155ced4ddcb4097134ff3c332f>
    <TaxCatchAll xmlns="581bcadf-4829-491d-9565-ce0d77695d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06597EFA3B244ABEEBC679612425A" ma:contentTypeVersion="12" ma:contentTypeDescription="Create a new document." ma:contentTypeScope="" ma:versionID="81272a4f491cb124f9cf79d609442c8f">
  <xsd:schema xmlns:xsd="http://www.w3.org/2001/XMLSchema" xmlns:xs="http://www.w3.org/2001/XMLSchema" xmlns:p="http://schemas.microsoft.com/office/2006/metadata/properties" xmlns:ns2="dee4f23f-7bfa-42a2-b35b-1325adb8ae28" xmlns:ns3="581bcadf-4829-491d-9565-ce0d77695d5b" targetNamespace="http://schemas.microsoft.com/office/2006/metadata/properties" ma:root="true" ma:fieldsID="4d59d0ca7c2850e0ad94988cad903b1c" ns2:_="" ns3:_="">
    <xsd:import namespace="dee4f23f-7bfa-42a2-b35b-1325adb8ae28"/>
    <xsd:import namespace="581bcadf-4829-491d-9565-ce0d77695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4f23f-7bfa-42a2-b35b-1325adb8a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bcadf-4829-491d-9565-ce0d77695d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73587c-dcab-4a26-bcfd-35d3c67dc0c4}" ma:internalName="TaxCatchAll" ma:showField="CatchAllData" ma:web="581bcadf-4829-491d-9565-ce0d77695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5646-21D9-4746-B48B-495BDDD6C7D6}">
  <ds:schemaRefs>
    <ds:schemaRef ds:uri="http://schemas.microsoft.com/sharepoint/v3/contenttype/forms"/>
  </ds:schemaRefs>
</ds:datastoreItem>
</file>

<file path=customXml/itemProps2.xml><?xml version="1.0" encoding="utf-8"?>
<ds:datastoreItem xmlns:ds="http://schemas.openxmlformats.org/officeDocument/2006/customXml" ds:itemID="{5D404D56-394D-476D-9BE4-7A65366E0F8D}">
  <ds:schemaRefs>
    <ds:schemaRef ds:uri="581bcadf-4829-491d-9565-ce0d77695d5b"/>
    <ds:schemaRef ds:uri="http://schemas.microsoft.com/office/infopath/2007/PartnerControls"/>
    <ds:schemaRef ds:uri="http://purl.org/dc/elements/1.1/"/>
    <ds:schemaRef ds:uri="http://schemas.microsoft.com/office/2006/metadata/properties"/>
    <ds:schemaRef ds:uri="http://purl.org/dc/terms/"/>
    <ds:schemaRef ds:uri="dee4f23f-7bfa-42a2-b35b-1325adb8ae2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897388-AA38-483B-B988-D14D4E57D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4f23f-7bfa-42a2-b35b-1325adb8ae28"/>
    <ds:schemaRef ds:uri="581bcadf-4829-491d-9565-ce0d77695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46420-A9D4-45FB-B229-953F5C00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Tom Orr (Edenthorpe Hall)</cp:lastModifiedBy>
  <cp:revision>1</cp:revision>
  <cp:lastPrinted>2024-01-22T11:54:00Z</cp:lastPrinted>
  <dcterms:created xsi:type="dcterms:W3CDTF">2024-09-06T13:06:00Z</dcterms:created>
  <dcterms:modified xsi:type="dcterms:W3CDTF">2024-10-11T11:11:00Z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0x010100AC606597EFA3B244ABEEBC679612425A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