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57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year 8, students are in sets for English and Science. In maths, we continue with the same model as year 7, where we have two set 1 groups on each side of the year group, and three mixed ability sets. There are two support groups in Maths which are smaller, for students who require additional support. </w:t>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 run a range of interventions for literacy and numeracy for students who have been identified as requiring more support. Some students receive additional numeracy lessons, whilst others receive intensive support on reading and literacy. </w:t>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Development (PSHE, RSE and Careers Education) is taught in tutor time twice a week, and on Search Days, which take place 7 times a year.  </w:t>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 Drama, Music, Product Design, Food Technology and Textiles are all taught on a rotation, so students will study one performing arts subject and one subject in design and technology at a time.  Citizenship and Religious Education are taught half termly. </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teach using a common approach we call ‘</w:t>
            </w:r>
            <w:hyperlink r:id="rId6">
              <w:r w:rsidDel="00000000" w:rsidR="00000000" w:rsidRPr="00000000">
                <w:rPr>
                  <w:rFonts w:ascii="Calibri" w:cs="Calibri" w:eastAsia="Calibri" w:hAnsi="Calibri"/>
                  <w:i w:val="1"/>
                  <w:color w:val="1155cc"/>
                  <w:u w:val="single"/>
                  <w:rtl w:val="0"/>
                </w:rPr>
                <w:t xml:space="preserve">How we Teach at Heartlands</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Every lesson begins with a ‘DO NOW’ which tests prior learning.  We expect 100% of students to follow our routines so they can be successful. Our classroom habits include ‘paired talk’ and  ‘cold call’ which teachers use to check attention as well as understanding. Students are expected to have ‘strong discussions’ where they give opinions back by evidence and listen to others. Teachers model answers before students then do independent practice. Students get live feedback in class and do two formal assessments a year. </w:t>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2"/>
        <w:tblW w:w="15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890"/>
        <w:gridCol w:w="2355"/>
        <w:gridCol w:w="2505"/>
        <w:gridCol w:w="2505"/>
        <w:gridCol w:w="2505"/>
        <w:gridCol w:w="2505"/>
        <w:tblGridChange w:id="0">
          <w:tblGrid>
            <w:gridCol w:w="1485"/>
            <w:gridCol w:w="1890"/>
            <w:gridCol w:w="2355"/>
            <w:gridCol w:w="2505"/>
            <w:gridCol w:w="2505"/>
            <w:gridCol w:w="2505"/>
            <w:gridCol w:w="250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6</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Belonging (Community and Individual) Persuasive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Christmas Carol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GHost Stories and Supernatural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Noughts and Crosses (Play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Poetry Throughout the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Romeo and Juliet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ind w:hanging="2"/>
              <w:rPr>
                <w:sz w:val="20"/>
                <w:szCs w:val="20"/>
              </w:rPr>
            </w:pPr>
            <w:r w:rsidDel="00000000" w:rsidR="00000000" w:rsidRPr="00000000">
              <w:rPr>
                <w:sz w:val="20"/>
                <w:szCs w:val="20"/>
                <w:rtl w:val="0"/>
              </w:rPr>
              <w:t xml:space="preserve">Unit 1 -Angles &amp; Polygons</w:t>
            </w:r>
          </w:p>
          <w:p w:rsidR="00000000" w:rsidDel="00000000" w:rsidP="00000000" w:rsidRDefault="00000000" w:rsidRPr="00000000" w14:paraId="0000001E">
            <w:pPr>
              <w:tabs>
                <w:tab w:val="right" w:leader="none" w:pos="2694"/>
                <w:tab w:val="right" w:leader="none" w:pos="14459"/>
              </w:tabs>
              <w:spacing w:line="240" w:lineRule="auto"/>
              <w:ind w:hanging="2"/>
              <w:rPr>
                <w:sz w:val="20"/>
                <w:szCs w:val="20"/>
              </w:rPr>
            </w:pPr>
            <w:r w:rsidDel="00000000" w:rsidR="00000000" w:rsidRPr="00000000">
              <w:rPr>
                <w:rtl w:val="0"/>
              </w:rPr>
            </w:r>
          </w:p>
          <w:p w:rsidR="00000000" w:rsidDel="00000000" w:rsidP="00000000" w:rsidRDefault="00000000" w:rsidRPr="00000000" w14:paraId="0000001F">
            <w:pPr>
              <w:tabs>
                <w:tab w:val="right" w:leader="none" w:pos="2694"/>
                <w:tab w:val="right" w:leader="none" w:pos="14459"/>
              </w:tabs>
              <w:spacing w:line="240" w:lineRule="auto"/>
              <w:ind w:hanging="2"/>
              <w:rPr>
                <w:sz w:val="20"/>
                <w:szCs w:val="20"/>
              </w:rPr>
            </w:pPr>
            <w:r w:rsidDel="00000000" w:rsidR="00000000" w:rsidRPr="00000000">
              <w:rPr>
                <w:sz w:val="20"/>
                <w:szCs w:val="20"/>
                <w:rtl w:val="0"/>
              </w:rPr>
              <w:t xml:space="preserve">Unit </w:t>
            </w:r>
            <w:hyperlink r:id="rId7">
              <w:r w:rsidDel="00000000" w:rsidR="00000000" w:rsidRPr="00000000">
                <w:rPr>
                  <w:sz w:val="20"/>
                  <w:szCs w:val="20"/>
                  <w:rtl w:val="0"/>
                </w:rPr>
                <w:t xml:space="preserve">2 – </w:t>
              </w:r>
            </w:hyperlink>
            <w:r w:rsidDel="00000000" w:rsidR="00000000" w:rsidRPr="00000000">
              <w:rPr>
                <w:sz w:val="20"/>
                <w:szCs w:val="20"/>
                <w:rtl w:val="0"/>
              </w:rPr>
              <w:t xml:space="preserve">Constructions</w:t>
            </w:r>
          </w:p>
          <w:p w:rsidR="00000000" w:rsidDel="00000000" w:rsidP="00000000" w:rsidRDefault="00000000" w:rsidRPr="00000000" w14:paraId="00000020">
            <w:pPr>
              <w:spacing w:line="240" w:lineRule="auto"/>
              <w:ind w:hanging="2"/>
              <w:rPr>
                <w:sz w:val="20"/>
                <w:szCs w:val="20"/>
              </w:rPr>
            </w:pPr>
            <w:r w:rsidDel="00000000" w:rsidR="00000000" w:rsidRPr="00000000">
              <w:rPr>
                <w:rtl w:val="0"/>
              </w:rPr>
            </w:r>
          </w:p>
          <w:p w:rsidR="00000000" w:rsidDel="00000000" w:rsidP="00000000" w:rsidRDefault="00000000" w:rsidRPr="00000000" w14:paraId="00000021">
            <w:pPr>
              <w:spacing w:line="240" w:lineRule="auto"/>
              <w:ind w:hanging="2"/>
              <w:rPr>
                <w:rFonts w:ascii="Calibri" w:cs="Calibri" w:eastAsia="Calibri" w:hAnsi="Calibri"/>
              </w:rPr>
            </w:pPr>
            <w:r w:rsidDel="00000000" w:rsidR="00000000" w:rsidRPr="00000000">
              <w:rPr>
                <w:sz w:val="20"/>
                <w:szCs w:val="20"/>
                <w:rtl w:val="0"/>
              </w:rPr>
              <w:t xml:space="preserve">Unit 3 - Perimeter &amp;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ind w:hanging="2"/>
              <w:rPr>
                <w:sz w:val="20"/>
                <w:szCs w:val="20"/>
              </w:rPr>
            </w:pPr>
            <w:r w:rsidDel="00000000" w:rsidR="00000000" w:rsidRPr="00000000">
              <w:rPr>
                <w:sz w:val="20"/>
                <w:szCs w:val="20"/>
                <w:rtl w:val="0"/>
              </w:rPr>
              <w:t xml:space="preserve">Unit 3 - Perimeter &amp; Area (from lesson 8)</w:t>
            </w:r>
          </w:p>
          <w:p w:rsidR="00000000" w:rsidDel="00000000" w:rsidP="00000000" w:rsidRDefault="00000000" w:rsidRPr="00000000" w14:paraId="00000023">
            <w:pPr>
              <w:spacing w:line="240" w:lineRule="auto"/>
              <w:ind w:hanging="2"/>
              <w:rPr>
                <w:sz w:val="20"/>
                <w:szCs w:val="20"/>
              </w:rPr>
            </w:pPr>
            <w:bookmarkStart w:colFirst="0" w:colLast="0" w:name="_qy9n6nrcxzc7" w:id="0"/>
            <w:bookmarkEnd w:id="0"/>
            <w:r w:rsidDel="00000000" w:rsidR="00000000" w:rsidRPr="00000000">
              <w:rPr>
                <w:rtl w:val="0"/>
              </w:rPr>
            </w:r>
          </w:p>
          <w:p w:rsidR="00000000" w:rsidDel="00000000" w:rsidP="00000000" w:rsidRDefault="00000000" w:rsidRPr="00000000" w14:paraId="00000024">
            <w:pPr>
              <w:spacing w:line="240" w:lineRule="auto"/>
              <w:ind w:hanging="2"/>
              <w:rPr>
                <w:sz w:val="20"/>
                <w:szCs w:val="20"/>
              </w:rPr>
            </w:pPr>
            <w:bookmarkStart w:colFirst="0" w:colLast="0" w:name="_cc7qqibvbybv" w:id="1"/>
            <w:bookmarkEnd w:id="1"/>
            <w:r w:rsidDel="00000000" w:rsidR="00000000" w:rsidRPr="00000000">
              <w:rPr>
                <w:sz w:val="20"/>
                <w:szCs w:val="20"/>
                <w:rtl w:val="0"/>
              </w:rPr>
              <w:t xml:space="preserve">Unit 4 – Rounding &amp; Circles </w:t>
            </w:r>
          </w:p>
          <w:p w:rsidR="00000000" w:rsidDel="00000000" w:rsidP="00000000" w:rsidRDefault="00000000" w:rsidRPr="00000000" w14:paraId="00000025">
            <w:pPr>
              <w:spacing w:line="240" w:lineRule="auto"/>
              <w:ind w:hanging="2"/>
              <w:rPr>
                <w:sz w:val="20"/>
                <w:szCs w:val="20"/>
              </w:rPr>
            </w:pPr>
            <w:bookmarkStart w:colFirst="0" w:colLast="0" w:name="_6xn95emjm0y6" w:id="2"/>
            <w:bookmarkEnd w:id="2"/>
            <w:r w:rsidDel="00000000" w:rsidR="00000000" w:rsidRPr="00000000">
              <w:rPr>
                <w:rtl w:val="0"/>
              </w:rPr>
            </w:r>
          </w:p>
          <w:p w:rsidR="00000000" w:rsidDel="00000000" w:rsidP="00000000" w:rsidRDefault="00000000" w:rsidRPr="00000000" w14:paraId="00000026">
            <w:pPr>
              <w:spacing w:line="240" w:lineRule="auto"/>
              <w:ind w:hanging="2"/>
              <w:rPr>
                <w:sz w:val="20"/>
                <w:szCs w:val="20"/>
              </w:rPr>
            </w:pPr>
            <w:bookmarkStart w:colFirst="0" w:colLast="0" w:name="_ddgx9nvqm2rl" w:id="3"/>
            <w:bookmarkEnd w:id="3"/>
            <w:r w:rsidDel="00000000" w:rsidR="00000000" w:rsidRPr="00000000">
              <w:rPr>
                <w:sz w:val="20"/>
                <w:szCs w:val="20"/>
                <w:rtl w:val="0"/>
              </w:rPr>
              <w:t xml:space="preserve">Unit 5 - 3D Shapes</w:t>
            </w:r>
          </w:p>
          <w:p w:rsidR="00000000" w:rsidDel="00000000" w:rsidP="00000000" w:rsidRDefault="00000000" w:rsidRPr="00000000" w14:paraId="00000027">
            <w:pPr>
              <w:tabs>
                <w:tab w:val="right" w:leader="none" w:pos="2608"/>
              </w:tabs>
              <w:spacing w:line="240" w:lineRule="auto"/>
              <w:ind w:hanging="2"/>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ind w:hanging="2"/>
              <w:rPr>
                <w:sz w:val="20"/>
                <w:szCs w:val="20"/>
              </w:rPr>
            </w:pPr>
            <w:r w:rsidDel="00000000" w:rsidR="00000000" w:rsidRPr="00000000">
              <w:rPr>
                <w:sz w:val="20"/>
                <w:szCs w:val="20"/>
                <w:rtl w:val="0"/>
              </w:rPr>
              <w:t xml:space="preserve">Unit 6 – Equations &amp; Inequalities</w:t>
            </w:r>
          </w:p>
          <w:p w:rsidR="00000000" w:rsidDel="00000000" w:rsidP="00000000" w:rsidRDefault="00000000" w:rsidRPr="00000000" w14:paraId="00000029">
            <w:pPr>
              <w:spacing w:line="240" w:lineRule="auto"/>
              <w:ind w:hanging="2"/>
              <w:rPr>
                <w:sz w:val="20"/>
                <w:szCs w:val="20"/>
              </w:rPr>
            </w:pPr>
            <w:bookmarkStart w:colFirst="0" w:colLast="0" w:name="_tpaqe84y8zt1" w:id="4"/>
            <w:bookmarkEnd w:id="4"/>
            <w:r w:rsidDel="00000000" w:rsidR="00000000" w:rsidRPr="00000000">
              <w:rPr>
                <w:rtl w:val="0"/>
              </w:rPr>
            </w:r>
          </w:p>
          <w:p w:rsidR="00000000" w:rsidDel="00000000" w:rsidP="00000000" w:rsidRDefault="00000000" w:rsidRPr="00000000" w14:paraId="0000002A">
            <w:pPr>
              <w:spacing w:line="240" w:lineRule="auto"/>
              <w:ind w:hanging="2"/>
              <w:rPr>
                <w:sz w:val="20"/>
                <w:szCs w:val="20"/>
              </w:rPr>
            </w:pPr>
            <w:bookmarkStart w:colFirst="0" w:colLast="0" w:name="_s3pvp54y7n3w" w:id="5"/>
            <w:bookmarkEnd w:id="5"/>
            <w:r w:rsidDel="00000000" w:rsidR="00000000" w:rsidRPr="00000000">
              <w:rPr>
                <w:sz w:val="20"/>
                <w:szCs w:val="20"/>
                <w:rtl w:val="0"/>
              </w:rPr>
              <w:t xml:space="preserve">Unit 7 – Rearranging Formulae </w:t>
            </w:r>
          </w:p>
          <w:p w:rsidR="00000000" w:rsidDel="00000000" w:rsidP="00000000" w:rsidRDefault="00000000" w:rsidRPr="00000000" w14:paraId="0000002B">
            <w:pPr>
              <w:spacing w:line="240" w:lineRule="auto"/>
              <w:ind w:hanging="2"/>
              <w:rPr>
                <w:b w:val="1"/>
                <w:sz w:val="20"/>
                <w:szCs w:val="20"/>
              </w:rPr>
            </w:pPr>
            <w:r w:rsidDel="00000000" w:rsidR="00000000" w:rsidRPr="00000000">
              <w:rPr>
                <w:rtl w:val="0"/>
              </w:rPr>
            </w:r>
          </w:p>
          <w:p w:rsidR="00000000" w:rsidDel="00000000" w:rsidP="00000000" w:rsidRDefault="00000000" w:rsidRPr="00000000" w14:paraId="0000002C">
            <w:pPr>
              <w:spacing w:line="240" w:lineRule="auto"/>
              <w:ind w:hanging="2"/>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ind w:hanging="2"/>
              <w:rPr>
                <w:sz w:val="20"/>
                <w:szCs w:val="20"/>
              </w:rPr>
            </w:pPr>
            <w:r w:rsidDel="00000000" w:rsidR="00000000" w:rsidRPr="00000000">
              <w:rPr>
                <w:sz w:val="20"/>
                <w:szCs w:val="20"/>
                <w:rtl w:val="0"/>
              </w:rPr>
              <w:t xml:space="preserve">Unit 8  – Linear Graphs</w:t>
            </w:r>
          </w:p>
          <w:p w:rsidR="00000000" w:rsidDel="00000000" w:rsidP="00000000" w:rsidRDefault="00000000" w:rsidRPr="00000000" w14:paraId="0000002E">
            <w:pPr>
              <w:spacing w:line="240" w:lineRule="auto"/>
              <w:ind w:hanging="2"/>
              <w:rPr>
                <w:b w:val="1"/>
                <w:sz w:val="20"/>
                <w:szCs w:val="20"/>
              </w:rPr>
            </w:pPr>
            <w:r w:rsidDel="00000000" w:rsidR="00000000" w:rsidRPr="00000000">
              <w:rPr>
                <w:rtl w:val="0"/>
              </w:rPr>
            </w:r>
          </w:p>
          <w:p w:rsidR="00000000" w:rsidDel="00000000" w:rsidP="00000000" w:rsidRDefault="00000000" w:rsidRPr="00000000" w14:paraId="0000002F">
            <w:pPr>
              <w:spacing w:line="240" w:lineRule="auto"/>
              <w:ind w:hanging="2"/>
              <w:rPr>
                <w:rFonts w:ascii="Calibri" w:cs="Calibri" w:eastAsia="Calibri" w:hAnsi="Calibri"/>
              </w:rPr>
            </w:pPr>
            <w:bookmarkStart w:colFirst="0" w:colLast="0" w:name="_61qppjx75aet" w:id="6"/>
            <w:bookmarkEnd w:id="6"/>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ind w:hanging="2"/>
              <w:rPr>
                <w:sz w:val="20"/>
                <w:szCs w:val="20"/>
              </w:rPr>
            </w:pPr>
            <w:r w:rsidDel="00000000" w:rsidR="00000000" w:rsidRPr="00000000">
              <w:rPr>
                <w:sz w:val="20"/>
                <w:szCs w:val="20"/>
                <w:rtl w:val="0"/>
              </w:rPr>
              <w:t xml:space="preserve">Unit 9 – Transformations</w:t>
            </w:r>
          </w:p>
          <w:p w:rsidR="00000000" w:rsidDel="00000000" w:rsidP="00000000" w:rsidRDefault="00000000" w:rsidRPr="00000000" w14:paraId="00000031">
            <w:pPr>
              <w:spacing w:line="240" w:lineRule="auto"/>
              <w:ind w:hanging="2"/>
              <w:rPr>
                <w:sz w:val="20"/>
                <w:szCs w:val="20"/>
              </w:rPr>
            </w:pPr>
            <w:bookmarkStart w:colFirst="0" w:colLast="0" w:name="_bihs244zb7v6" w:id="7"/>
            <w:bookmarkEnd w:id="7"/>
            <w:r w:rsidDel="00000000" w:rsidR="00000000" w:rsidRPr="00000000">
              <w:rPr>
                <w:rtl w:val="0"/>
              </w:rPr>
            </w:r>
          </w:p>
          <w:p w:rsidR="00000000" w:rsidDel="00000000" w:rsidP="00000000" w:rsidRDefault="00000000" w:rsidRPr="00000000" w14:paraId="00000032">
            <w:pPr>
              <w:spacing w:line="240" w:lineRule="auto"/>
              <w:ind w:hanging="2"/>
              <w:rPr>
                <w:sz w:val="20"/>
                <w:szCs w:val="20"/>
              </w:rPr>
            </w:pPr>
            <w:bookmarkStart w:colFirst="0" w:colLast="0" w:name="_qnodvhlruhxs" w:id="8"/>
            <w:bookmarkEnd w:id="8"/>
            <w:r w:rsidDel="00000000" w:rsidR="00000000" w:rsidRPr="00000000">
              <w:rPr>
                <w:sz w:val="20"/>
                <w:szCs w:val="20"/>
                <w:rtl w:val="0"/>
              </w:rPr>
              <w:t xml:space="preserve">Unit 10  – Proportion</w:t>
            </w:r>
          </w:p>
          <w:p w:rsidR="00000000" w:rsidDel="00000000" w:rsidP="00000000" w:rsidRDefault="00000000" w:rsidRPr="00000000" w14:paraId="00000033">
            <w:pPr>
              <w:spacing w:line="240" w:lineRule="auto"/>
              <w:ind w:hanging="2"/>
              <w:rPr>
                <w:b w:val="1"/>
                <w:sz w:val="20"/>
                <w:szCs w:val="20"/>
              </w:rPr>
            </w:pPr>
            <w:r w:rsidDel="00000000" w:rsidR="00000000" w:rsidRPr="00000000">
              <w:rPr>
                <w:rtl w:val="0"/>
              </w:rPr>
            </w:r>
          </w:p>
          <w:p w:rsidR="00000000" w:rsidDel="00000000" w:rsidP="00000000" w:rsidRDefault="00000000" w:rsidRPr="00000000" w14:paraId="00000034">
            <w:pPr>
              <w:spacing w:line="240" w:lineRule="auto"/>
              <w:ind w:hanging="2"/>
              <w:rPr>
                <w:rFonts w:ascii="Calibri" w:cs="Calibri" w:eastAsia="Calibri" w:hAnsi="Calibri"/>
              </w:rPr>
            </w:pPr>
            <w:bookmarkStart w:colFirst="0" w:colLast="0" w:name="_qnodvhlruhxs" w:id="8"/>
            <w:bookmarkEnd w:id="8"/>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ind w:hanging="2"/>
              <w:rPr>
                <w:sz w:val="20"/>
                <w:szCs w:val="20"/>
              </w:rPr>
            </w:pPr>
            <w:r w:rsidDel="00000000" w:rsidR="00000000" w:rsidRPr="00000000">
              <w:rPr>
                <w:sz w:val="20"/>
                <w:szCs w:val="20"/>
                <w:rtl w:val="0"/>
              </w:rPr>
              <w:t xml:space="preserve">Unit 11 – Standard Form </w:t>
            </w:r>
          </w:p>
          <w:p w:rsidR="00000000" w:rsidDel="00000000" w:rsidP="00000000" w:rsidRDefault="00000000" w:rsidRPr="00000000" w14:paraId="00000036">
            <w:pPr>
              <w:tabs>
                <w:tab w:val="right" w:leader="none" w:pos="2694"/>
                <w:tab w:val="right" w:leader="none" w:pos="14459"/>
              </w:tabs>
              <w:spacing w:line="240" w:lineRule="auto"/>
              <w:ind w:hanging="2"/>
              <w:rPr>
                <w:sz w:val="20"/>
                <w:szCs w:val="20"/>
              </w:rPr>
            </w:pPr>
            <w:r w:rsidDel="00000000" w:rsidR="00000000" w:rsidRPr="00000000">
              <w:rPr>
                <w:rtl w:val="0"/>
              </w:rPr>
            </w:r>
          </w:p>
          <w:p w:rsidR="00000000" w:rsidDel="00000000" w:rsidP="00000000" w:rsidRDefault="00000000" w:rsidRPr="00000000" w14:paraId="00000037">
            <w:pPr>
              <w:spacing w:line="240" w:lineRule="auto"/>
              <w:ind w:hanging="2"/>
              <w:rPr>
                <w:sz w:val="20"/>
                <w:szCs w:val="20"/>
              </w:rPr>
            </w:pPr>
            <w:r w:rsidDel="00000000" w:rsidR="00000000" w:rsidRPr="00000000">
              <w:rPr>
                <w:sz w:val="20"/>
                <w:szCs w:val="20"/>
                <w:rtl w:val="0"/>
              </w:rPr>
              <w:t xml:space="preserve">Unit 12 – Statistics</w:t>
            </w:r>
          </w:p>
          <w:p w:rsidR="00000000" w:rsidDel="00000000" w:rsidP="00000000" w:rsidRDefault="00000000" w:rsidRPr="00000000" w14:paraId="00000038">
            <w:pPr>
              <w:spacing w:line="240" w:lineRule="auto"/>
              <w:ind w:hanging="2"/>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B - Respiration and Photosynthesis</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sz w:val="20"/>
                <w:szCs w:val="20"/>
                <w:rtl w:val="0"/>
              </w:rPr>
              <w:t xml:space="preserve">C - Chemical Reactions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P - Heating and cooling</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sz w:val="20"/>
                <w:szCs w:val="20"/>
                <w:rtl w:val="0"/>
              </w:rPr>
              <w:t xml:space="preserve">B - Body systems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sz w:val="20"/>
                <w:szCs w:val="20"/>
                <w:rtl w:val="0"/>
              </w:rPr>
              <w:t xml:space="preserve">P - Forces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C - Climate and resources</w:t>
            </w:r>
          </w:p>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B - Evolution</w:t>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sz w:val="20"/>
                <w:szCs w:val="20"/>
                <w:rtl w:val="0"/>
              </w:rPr>
              <w:t xml:space="preserve">P - Waves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sz w:val="20"/>
                <w:szCs w:val="20"/>
                <w:rtl w:val="0"/>
              </w:rPr>
              <w:t xml:space="preserve">B - Drugs</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How can our planet be managed?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Why is the world so hazardous?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Africa: A continents of contrasts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How do rivers shape the land?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Do migration stories vary around the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Ecosystems</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History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Empire and expansion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Empire and expansion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Power and protest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Power and protest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Conflict and control </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Ordinary lives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ideas and power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Computing </w:t>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What’s Behind the Block?</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Does Technology Rule?</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Where can Technology take me?</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Rugby, Badminton, Netball, Volleyball, Basketball.</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Muscles used in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Trampolining, football.</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Methods of training and application through setbacks.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Health and Fitness/ Trampolining/ Table Tennis/ Football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Athletics Endurance/ Sprints/ Throws/ Jumps</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Cricket</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tc>
      </w:tr>
      <w:tr>
        <w:trPr>
          <w:cantSplit w:val="0"/>
          <w:trHeight w:val="2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Citizenship and Religious Education </w:t>
            </w:r>
          </w:p>
        </w:tc>
        <w:tc>
          <w:tcP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am I protected in society? </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Rights, Laws and Criminal Responsibility</w:t>
            </w:r>
          </w:p>
        </w:tc>
        <w:tc>
          <w:tcP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Liberty and freedom</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Democracy, Freedom of Speech, Impact of Media</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I manage my money?</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money for</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Taxes</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Avoiding Debt</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Money Growth</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Religious studies unit</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Fame/money Vs spiritual Fulfilment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Local, national, international and global areas of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Local, national, international and global areas of interest</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Preparation for end of year exam</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Spanish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Local, national, international and global areas of interest</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Local, national, international and global areas of interest</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Preparation for end of year exam</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Art/Music/Drama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Cultural Project Skills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Architecture Skills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Music</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Permorning theme: Jazz Blues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Composing a Jazz Piece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Permornign theme: Samba/ Afrobeat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Drama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Sam's Story/ Drama Style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Blood Brothers/ Monologues</w:t>
            </w:r>
          </w:p>
        </w:tc>
      </w:tr>
      <w:tr>
        <w:trPr>
          <w:cantSplit w:val="0"/>
          <w:trHeight w:val="71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Design and Technology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Product Design - Mobile Phone Stand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Exploring Plastics and CAD Design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Textiles - Manufacturing a tote bag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Exploring Manufacturing and Processing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 Provenance</w:t>
            </w:r>
          </w:p>
        </w:tc>
      </w:tr>
    </w:tbl>
    <w:p w:rsidR="00000000" w:rsidDel="00000000" w:rsidP="00000000" w:rsidRDefault="00000000" w:rsidRPr="00000000" w14:paraId="000000AE">
      <w:pPr>
        <w:rPr>
          <w:rFonts w:ascii="Calibri" w:cs="Calibri" w:eastAsia="Calibri" w:hAnsi="Calibri"/>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dn.realsmart.co.uk/a4f2eec442dc510be34096846956cbfc/uploads/2022/08/26101058/How-We-Teach-at-Heartlands-Booklet-Digital.pdf" TargetMode="External"/><Relationship Id="rId7" Type="http://schemas.openxmlformats.org/officeDocument/2006/relationships/hyperlink" Target="http://higher/Module%202%20-Coordina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