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3A" w:rsidRPr="00913649" w:rsidRDefault="0017043A" w:rsidP="0017043A">
      <w:pPr>
        <w:jc w:val="right"/>
        <w:rPr>
          <w:rFonts w:ascii="Palatino Linotype" w:hAnsi="Palatino Linotype"/>
        </w:rPr>
      </w:pPr>
      <w:r w:rsidRPr="007671BC">
        <w:rPr>
          <w:rFonts w:ascii="Palatino Linotype" w:hAnsi="Palatino Linotype"/>
          <w:noProof/>
          <w:lang w:eastAsia="en-GB"/>
        </w:rPr>
        <w:drawing>
          <wp:anchor distT="0" distB="0" distL="114300" distR="114300" simplePos="0" relativeHeight="251659264" behindDoc="1" locked="0" layoutInCell="1" allowOverlap="1">
            <wp:simplePos x="0" y="0"/>
            <wp:positionH relativeFrom="column">
              <wp:posOffset>133350</wp:posOffset>
            </wp:positionH>
            <wp:positionV relativeFrom="paragraph">
              <wp:posOffset>9525</wp:posOffset>
            </wp:positionV>
            <wp:extent cx="962025" cy="1266825"/>
            <wp:effectExtent l="19050" t="0" r="9525" b="0"/>
            <wp:wrapTight wrapText="bothSides">
              <wp:wrapPolygon edited="0">
                <wp:start x="-428" y="0"/>
                <wp:lineTo x="-428" y="21438"/>
                <wp:lineTo x="21814" y="21438"/>
                <wp:lineTo x="21814" y="0"/>
                <wp:lineTo x="-428" y="0"/>
              </wp:wrapPolygon>
            </wp:wrapTight>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1266825"/>
                    </a:xfrm>
                    <a:prstGeom prst="rect">
                      <a:avLst/>
                    </a:prstGeom>
                    <a:noFill/>
                    <a:ln>
                      <a:noFill/>
                    </a:ln>
                  </pic:spPr>
                </pic:pic>
              </a:graphicData>
            </a:graphic>
          </wp:anchor>
        </w:drawing>
      </w:r>
      <w:r w:rsidRPr="007671BC">
        <w:rPr>
          <w:rFonts w:ascii="Palatino Linotype" w:hAnsi="Palatino Linotype"/>
        </w:rPr>
        <w:t xml:space="preserve">   </w:t>
      </w:r>
      <w:r w:rsidRPr="00913649">
        <w:rPr>
          <w:rFonts w:ascii="Palatino Linotype" w:hAnsi="Palatino Linotype"/>
        </w:rPr>
        <w:t xml:space="preserve">Ashley Primary School </w:t>
      </w:r>
    </w:p>
    <w:p w:rsidR="0017043A" w:rsidRPr="00913649" w:rsidRDefault="0017043A" w:rsidP="0017043A">
      <w:pPr>
        <w:jc w:val="right"/>
        <w:rPr>
          <w:rFonts w:ascii="Palatino Linotype" w:hAnsi="Palatino Linotype"/>
        </w:rPr>
      </w:pPr>
      <w:r w:rsidRPr="00913649">
        <w:rPr>
          <w:rFonts w:ascii="Palatino Linotype" w:hAnsi="Palatino Linotype"/>
        </w:rPr>
        <w:t xml:space="preserve">                      Temple Park Road </w:t>
      </w:r>
    </w:p>
    <w:p w:rsidR="0017043A" w:rsidRPr="00913649" w:rsidRDefault="0017043A" w:rsidP="0017043A">
      <w:pPr>
        <w:jc w:val="right"/>
        <w:rPr>
          <w:rFonts w:ascii="Palatino Linotype" w:hAnsi="Palatino Linotype"/>
        </w:rPr>
      </w:pPr>
      <w:r w:rsidRPr="00913649">
        <w:rPr>
          <w:rFonts w:ascii="Palatino Linotype" w:hAnsi="Palatino Linotype"/>
        </w:rPr>
        <w:t xml:space="preserve">South Shields </w:t>
      </w:r>
    </w:p>
    <w:p w:rsidR="0017043A" w:rsidRPr="00913649" w:rsidRDefault="0017043A" w:rsidP="0017043A">
      <w:pPr>
        <w:jc w:val="right"/>
        <w:rPr>
          <w:rFonts w:ascii="Palatino Linotype" w:hAnsi="Palatino Linotype"/>
        </w:rPr>
      </w:pPr>
      <w:r w:rsidRPr="00913649">
        <w:rPr>
          <w:rFonts w:ascii="Palatino Linotype" w:hAnsi="Palatino Linotype"/>
        </w:rPr>
        <w:t>Tyne and Wear</w:t>
      </w:r>
    </w:p>
    <w:p w:rsidR="0017043A" w:rsidRPr="00913649" w:rsidRDefault="0017043A" w:rsidP="0017043A">
      <w:pPr>
        <w:jc w:val="right"/>
        <w:rPr>
          <w:rFonts w:ascii="Palatino Linotype" w:hAnsi="Palatino Linotype"/>
        </w:rPr>
      </w:pPr>
      <w:r w:rsidRPr="00913649">
        <w:rPr>
          <w:rFonts w:ascii="Palatino Linotype" w:hAnsi="Palatino Linotype"/>
        </w:rPr>
        <w:t xml:space="preserve"> NE34 0QA</w:t>
      </w:r>
    </w:p>
    <w:p w:rsidR="0017043A" w:rsidRPr="00913649" w:rsidRDefault="0017043A" w:rsidP="0017043A">
      <w:pPr>
        <w:jc w:val="right"/>
        <w:rPr>
          <w:rFonts w:ascii="Palatino Linotype" w:hAnsi="Palatino Linotype"/>
        </w:rPr>
      </w:pPr>
      <w:r w:rsidRPr="00913649">
        <w:rPr>
          <w:rFonts w:ascii="Palatino Linotype" w:hAnsi="Palatino Linotype"/>
        </w:rPr>
        <w:t>Head Teacher: Mrs D Todd</w:t>
      </w:r>
    </w:p>
    <w:p w:rsidR="0017043A" w:rsidRPr="007671BC" w:rsidRDefault="0017043A" w:rsidP="0017043A">
      <w:pPr>
        <w:jc w:val="right"/>
        <w:rPr>
          <w:rFonts w:ascii="Palatino Linotype" w:hAnsi="Palatino Linotype"/>
        </w:rPr>
      </w:pPr>
      <w:r w:rsidRPr="00913649">
        <w:rPr>
          <w:rFonts w:ascii="Palatino Linotype" w:hAnsi="Palatino Linotype"/>
        </w:rPr>
        <w:t xml:space="preserve">  Telephone Number: 0191 4564977</w:t>
      </w:r>
    </w:p>
    <w:p w:rsidR="0017043A" w:rsidRDefault="0017043A" w:rsidP="0017043A"/>
    <w:p w:rsidR="0017043A" w:rsidRPr="00572985" w:rsidRDefault="0017043A" w:rsidP="0017043A">
      <w:pPr>
        <w:jc w:val="center"/>
        <w:rPr>
          <w:rFonts w:ascii="Palatino Linotype" w:hAnsi="Palatino Linotype"/>
          <w:b/>
          <w:sz w:val="28"/>
          <w:szCs w:val="28"/>
        </w:rPr>
      </w:pPr>
      <w:r w:rsidRPr="00572985">
        <w:rPr>
          <w:rFonts w:ascii="Palatino Linotype" w:hAnsi="Palatino Linotype"/>
          <w:b/>
          <w:sz w:val="28"/>
          <w:szCs w:val="28"/>
        </w:rPr>
        <w:t>Ashley Primary School</w:t>
      </w:r>
    </w:p>
    <w:p w:rsidR="00A56666" w:rsidRDefault="00A56666" w:rsidP="00A56666">
      <w:pPr>
        <w:spacing w:after="160" w:line="256" w:lineRule="auto"/>
        <w:contextualSpacing/>
        <w:jc w:val="center"/>
        <w:rPr>
          <w:rFonts w:ascii="Palatino Linotype" w:eastAsiaTheme="minorHAnsi" w:hAnsi="Palatino Linotype" w:cstheme="minorHAnsi"/>
          <w:b/>
          <w:sz w:val="22"/>
          <w:u w:val="single"/>
        </w:rPr>
      </w:pPr>
    </w:p>
    <w:p w:rsidR="00A56666" w:rsidRPr="009B2BA6" w:rsidRDefault="00A56666" w:rsidP="00A56666">
      <w:pPr>
        <w:spacing w:after="160" w:line="256" w:lineRule="auto"/>
        <w:contextualSpacing/>
        <w:jc w:val="center"/>
        <w:rPr>
          <w:rFonts w:ascii="Palatino Linotype" w:eastAsiaTheme="minorHAnsi" w:hAnsi="Palatino Linotype" w:cstheme="minorHAnsi"/>
          <w:b/>
          <w:sz w:val="22"/>
          <w:u w:val="single"/>
        </w:rPr>
      </w:pPr>
      <w:r w:rsidRPr="009B2BA6">
        <w:rPr>
          <w:rFonts w:ascii="Palatino Linotype" w:eastAsiaTheme="minorHAnsi" w:hAnsi="Palatino Linotype" w:cstheme="minorHAnsi"/>
          <w:b/>
          <w:sz w:val="22"/>
          <w:u w:val="single"/>
        </w:rPr>
        <w:t>Data Breach Policy</w:t>
      </w:r>
    </w:p>
    <w:p w:rsidR="00E67F2B" w:rsidRDefault="00E67F2B" w:rsidP="00A56666"/>
    <w:p w:rsidR="00A56666" w:rsidRPr="009B2BA6" w:rsidRDefault="00A56666" w:rsidP="00A56666">
      <w:pPr>
        <w:spacing w:after="160" w:line="256" w:lineRule="auto"/>
        <w:contextualSpacing/>
        <w:rPr>
          <w:rFonts w:ascii="Palatino Linotype" w:eastAsiaTheme="minorHAnsi" w:hAnsi="Palatino Linotype" w:cstheme="minorHAnsi"/>
          <w:sz w:val="22"/>
        </w:rPr>
      </w:pPr>
      <w:r w:rsidRPr="009B2BA6">
        <w:rPr>
          <w:rFonts w:ascii="Palatino Linotype" w:eastAsiaTheme="minorHAnsi" w:hAnsi="Palatino Linotype" w:cstheme="minorHAnsi"/>
          <w:sz w:val="22"/>
        </w:rPr>
        <w:t>A personal data breach is a breach of security leading to accidental or unlawful destruction, loss, alteration, unauthorised disclosure of, or access to, personal data. This will include breaches that are the result of both accidental and deliberate causes. It also means that a breach is more than just about losing personal data.</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spacing w:after="160" w:line="256" w:lineRule="auto"/>
        <w:contextualSpacing/>
        <w:rPr>
          <w:rFonts w:ascii="Palatino Linotype" w:eastAsiaTheme="minorHAnsi" w:hAnsi="Palatino Linotype" w:cstheme="minorHAnsi"/>
          <w:sz w:val="22"/>
        </w:rPr>
      </w:pPr>
      <w:r w:rsidRPr="009B2BA6">
        <w:rPr>
          <w:rFonts w:ascii="Palatino Linotype" w:eastAsiaTheme="minorHAnsi" w:hAnsi="Palatino Linotype" w:cstheme="minorHAnsi"/>
          <w:sz w:val="22"/>
        </w:rPr>
        <w:t>It is a security incident that has affected the confidentiality, integrity or availability of personal data.  Whenever a security incident takes place, it should be quickly established whether a personal data breach has occurred and, if so, promptly take steps to address it, including informing the ICO if required.</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spacing w:after="160" w:line="256" w:lineRule="auto"/>
        <w:contextualSpacing/>
        <w:rPr>
          <w:rFonts w:ascii="Palatino Linotype" w:eastAsiaTheme="minorHAnsi" w:hAnsi="Palatino Linotype" w:cstheme="minorHAnsi"/>
          <w:sz w:val="22"/>
        </w:rPr>
      </w:pPr>
      <w:r w:rsidRPr="009B2BA6">
        <w:rPr>
          <w:rFonts w:ascii="Palatino Linotype" w:eastAsiaTheme="minorHAnsi" w:hAnsi="Palatino Linotype" w:cstheme="minorHAnsi"/>
          <w:sz w:val="22"/>
        </w:rPr>
        <w:t>The ICO must be informed if the breach has resulted in a risk to people’s rights and freedoms; if this is unlikely then it does not have to be reported. However, if the breach has not been reported then the school should be able to justify this decision.</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spacing w:after="160" w:line="256" w:lineRule="auto"/>
        <w:contextualSpacing/>
        <w:rPr>
          <w:rFonts w:ascii="Palatino Linotype" w:eastAsiaTheme="minorHAnsi" w:hAnsi="Palatino Linotype" w:cstheme="minorHAnsi"/>
          <w:sz w:val="22"/>
        </w:rPr>
      </w:pPr>
      <w:r w:rsidRPr="009B2BA6">
        <w:rPr>
          <w:rFonts w:ascii="Palatino Linotype" w:eastAsiaTheme="minorHAnsi" w:hAnsi="Palatino Linotype" w:cstheme="minorHAnsi"/>
          <w:sz w:val="22"/>
        </w:rPr>
        <w:t>In assessing if a data breach has created a risk to people’s rights and freedoms then Recital 85 of the GDPR should be consulted.</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pStyle w:val="ListParagraph"/>
        <w:spacing w:after="160" w:line="256" w:lineRule="auto"/>
        <w:rPr>
          <w:rFonts w:ascii="Palatino Linotype" w:eastAsiaTheme="minorHAnsi" w:hAnsi="Palatino Linotype" w:cstheme="minorHAnsi"/>
          <w:i/>
          <w:sz w:val="22"/>
        </w:rPr>
      </w:pPr>
      <w:r w:rsidRPr="009B2BA6">
        <w:rPr>
          <w:rFonts w:ascii="Palatino Linotype" w:eastAsiaTheme="minorHAnsi" w:hAnsi="Palatino Linotype" w:cstheme="minorHAnsi"/>
          <w:i/>
          <w:sz w:val="22"/>
        </w:rPr>
        <w:t xml:space="preserve">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w:t>
      </w:r>
      <w:proofErr w:type="spellStart"/>
      <w:r w:rsidRPr="009B2BA6">
        <w:rPr>
          <w:rFonts w:ascii="Palatino Linotype" w:eastAsiaTheme="minorHAnsi" w:hAnsi="Palatino Linotype" w:cstheme="minorHAnsi"/>
          <w:i/>
          <w:sz w:val="22"/>
        </w:rPr>
        <w:t>pseudonymisation</w:t>
      </w:r>
      <w:proofErr w:type="spellEnd"/>
      <w:r w:rsidRPr="009B2BA6">
        <w:rPr>
          <w:rFonts w:ascii="Palatino Linotype" w:eastAsiaTheme="minorHAnsi" w:hAnsi="Palatino Linotype" w:cstheme="minorHAnsi"/>
          <w:i/>
          <w:sz w:val="22"/>
        </w:rPr>
        <w:t>, damage to reputation, loss of confidentiality of personal data protected by professional secrecy or any other significant economic or social disadvantage to the natural person concerned.”</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Default="00E5454C" w:rsidP="00A56666">
      <w:pPr>
        <w:spacing w:after="160" w:line="256" w:lineRule="auto"/>
        <w:contextualSpacing/>
        <w:rPr>
          <w:rFonts w:ascii="Palatino Linotype" w:eastAsiaTheme="minorHAnsi" w:hAnsi="Palatino Linotype" w:cstheme="minorHAnsi"/>
          <w:b/>
          <w:sz w:val="22"/>
        </w:rPr>
      </w:pPr>
      <w:r>
        <w:rPr>
          <w:rFonts w:ascii="Palatino Linotype" w:eastAsiaTheme="minorHAnsi" w:hAnsi="Palatino Linotype" w:cstheme="minorHAnsi"/>
          <w:b/>
          <w:sz w:val="22"/>
        </w:rPr>
        <w:t>Each Individual Case of date breach will be dealt with initially by the Head Teacher and the Data Protection Offic</w:t>
      </w:r>
      <w:r w:rsidR="003A4706">
        <w:rPr>
          <w:rFonts w:ascii="Palatino Linotype" w:eastAsiaTheme="minorHAnsi" w:hAnsi="Palatino Linotype" w:cstheme="minorHAnsi"/>
          <w:b/>
          <w:sz w:val="22"/>
        </w:rPr>
        <w:t>e</w:t>
      </w:r>
      <w:r>
        <w:rPr>
          <w:rFonts w:ascii="Palatino Linotype" w:eastAsiaTheme="minorHAnsi" w:hAnsi="Palatino Linotype" w:cstheme="minorHAnsi"/>
          <w:b/>
          <w:sz w:val="22"/>
        </w:rPr>
        <w:t>r.</w:t>
      </w:r>
    </w:p>
    <w:p w:rsidR="00E5454C" w:rsidRDefault="00E5454C" w:rsidP="00A56666">
      <w:pPr>
        <w:spacing w:after="160" w:line="256" w:lineRule="auto"/>
        <w:contextualSpacing/>
        <w:rPr>
          <w:rFonts w:ascii="Palatino Linotype" w:eastAsiaTheme="minorHAnsi" w:hAnsi="Palatino Linotype" w:cstheme="minorHAnsi"/>
          <w:b/>
          <w:sz w:val="22"/>
        </w:rPr>
      </w:pPr>
    </w:p>
    <w:p w:rsidR="00E5454C" w:rsidRPr="009B2BA6" w:rsidRDefault="00E5454C" w:rsidP="00A56666">
      <w:pPr>
        <w:spacing w:after="160" w:line="256" w:lineRule="auto"/>
        <w:contextualSpacing/>
        <w:rPr>
          <w:rFonts w:ascii="Palatino Linotype" w:eastAsiaTheme="minorHAnsi" w:hAnsi="Palatino Linotype" w:cstheme="minorHAnsi"/>
          <w:sz w:val="22"/>
        </w:rPr>
      </w:pPr>
      <w:r>
        <w:rPr>
          <w:rFonts w:ascii="Palatino Linotype" w:eastAsiaTheme="minorHAnsi" w:hAnsi="Palatino Linotype" w:cstheme="minorHAnsi"/>
          <w:b/>
          <w:sz w:val="22"/>
        </w:rPr>
        <w:t xml:space="preserve">Each incident of data breach will be </w:t>
      </w:r>
      <w:proofErr w:type="spellStart"/>
      <w:r>
        <w:rPr>
          <w:rFonts w:ascii="Palatino Linotype" w:eastAsiaTheme="minorHAnsi" w:hAnsi="Palatino Linotype" w:cstheme="minorHAnsi"/>
          <w:b/>
          <w:sz w:val="22"/>
        </w:rPr>
        <w:t>actioned</w:t>
      </w:r>
      <w:proofErr w:type="spellEnd"/>
      <w:r>
        <w:rPr>
          <w:rFonts w:ascii="Palatino Linotype" w:eastAsiaTheme="minorHAnsi" w:hAnsi="Palatino Linotype" w:cstheme="minorHAnsi"/>
          <w:b/>
          <w:sz w:val="22"/>
        </w:rPr>
        <w:t xml:space="preserve"> depending upon severity. </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Default="00A56666" w:rsidP="00A56666">
      <w:pPr>
        <w:spacing w:after="160" w:line="256" w:lineRule="auto"/>
        <w:contextualSpacing/>
        <w:jc w:val="center"/>
        <w:rPr>
          <w:rFonts w:ascii="Palatino Linotype" w:eastAsiaTheme="minorHAnsi" w:hAnsi="Palatino Linotype" w:cstheme="minorHAnsi"/>
          <w:b/>
          <w:sz w:val="22"/>
          <w:u w:val="single"/>
        </w:rPr>
      </w:pPr>
    </w:p>
    <w:p w:rsidR="00A56666" w:rsidRDefault="00A56666" w:rsidP="00A56666">
      <w:pPr>
        <w:spacing w:after="160" w:line="256" w:lineRule="auto"/>
        <w:contextualSpacing/>
        <w:jc w:val="center"/>
        <w:rPr>
          <w:rFonts w:ascii="Palatino Linotype" w:eastAsiaTheme="minorHAnsi" w:hAnsi="Palatino Linotype" w:cstheme="minorHAnsi"/>
          <w:b/>
          <w:sz w:val="22"/>
          <w:u w:val="single"/>
        </w:rPr>
      </w:pPr>
    </w:p>
    <w:p w:rsidR="00A56666" w:rsidRDefault="00A56666" w:rsidP="00A56666">
      <w:pPr>
        <w:spacing w:after="160" w:line="256" w:lineRule="auto"/>
        <w:contextualSpacing/>
        <w:jc w:val="center"/>
        <w:rPr>
          <w:rFonts w:ascii="Palatino Linotype" w:eastAsiaTheme="minorHAnsi" w:hAnsi="Palatino Linotype" w:cstheme="minorHAnsi"/>
          <w:b/>
          <w:sz w:val="22"/>
          <w:u w:val="single"/>
        </w:rPr>
      </w:pPr>
    </w:p>
    <w:p w:rsidR="00A56666" w:rsidRPr="009B2BA6" w:rsidRDefault="00A56666" w:rsidP="00A56666">
      <w:pPr>
        <w:spacing w:after="160" w:line="256" w:lineRule="auto"/>
        <w:contextualSpacing/>
        <w:jc w:val="center"/>
        <w:rPr>
          <w:rFonts w:ascii="Palatino Linotype" w:eastAsiaTheme="minorHAnsi" w:hAnsi="Palatino Linotype" w:cstheme="minorHAnsi"/>
          <w:b/>
          <w:sz w:val="22"/>
          <w:u w:val="single"/>
        </w:rPr>
      </w:pPr>
      <w:r w:rsidRPr="009B2BA6">
        <w:rPr>
          <w:rFonts w:ascii="Palatino Linotype" w:eastAsiaTheme="minorHAnsi" w:hAnsi="Palatino Linotype" w:cstheme="minorHAnsi"/>
          <w:b/>
          <w:sz w:val="22"/>
          <w:u w:val="single"/>
        </w:rPr>
        <w:t>Data Breach Process</w:t>
      </w: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Pr="009B2BA6"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Data Breach reported to either head teacher or school data protection officer. Whichever is informed, they will inform the other with immediate effect.</w:t>
      </w:r>
    </w:p>
    <w:p w:rsidR="00A56666" w:rsidRPr="009B2BA6"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Immediate action taken to contain the breach.</w:t>
      </w:r>
    </w:p>
    <w:p w:rsidR="00A56666" w:rsidRPr="009B2BA6"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Begin completion of the data breach document log by Data Protection Officer.</w:t>
      </w:r>
    </w:p>
    <w:p w:rsidR="00A56666"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Any actions from data breach document log carried out.</w:t>
      </w:r>
    </w:p>
    <w:p w:rsidR="00A56666" w:rsidRPr="00311D4B"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Chair of Governors to be informed in a timely manner.</w:t>
      </w:r>
    </w:p>
    <w:p w:rsidR="00A56666" w:rsidRPr="009B2BA6" w:rsidRDefault="00A56666" w:rsidP="00A56666">
      <w:pPr>
        <w:pStyle w:val="ListParagraph"/>
        <w:numPr>
          <w:ilvl w:val="0"/>
          <w:numId w:val="1"/>
        </w:numPr>
        <w:spacing w:after="160" w:line="256" w:lineRule="auto"/>
        <w:rPr>
          <w:rFonts w:ascii="Palatino Linotype" w:eastAsiaTheme="minorHAnsi" w:hAnsi="Palatino Linotype" w:cstheme="minorHAnsi"/>
          <w:sz w:val="22"/>
        </w:rPr>
      </w:pPr>
      <w:r w:rsidRPr="009B2BA6">
        <w:rPr>
          <w:rFonts w:ascii="Palatino Linotype" w:eastAsiaTheme="minorHAnsi" w:hAnsi="Palatino Linotype" w:cstheme="minorHAnsi"/>
          <w:sz w:val="22"/>
        </w:rPr>
        <w:t>Completed data breach document</w:t>
      </w:r>
      <w:r>
        <w:rPr>
          <w:rFonts w:ascii="Palatino Linotype" w:eastAsiaTheme="minorHAnsi" w:hAnsi="Palatino Linotype" w:cstheme="minorHAnsi"/>
          <w:sz w:val="22"/>
        </w:rPr>
        <w:t xml:space="preserve"> log</w:t>
      </w:r>
      <w:r w:rsidRPr="009B2BA6">
        <w:rPr>
          <w:rFonts w:ascii="Palatino Linotype" w:eastAsiaTheme="minorHAnsi" w:hAnsi="Palatino Linotype" w:cstheme="minorHAnsi"/>
          <w:sz w:val="22"/>
        </w:rPr>
        <w:t xml:space="preserve"> signed off by both Head Teacher and Data Protection Officer and copies kept by both.</w:t>
      </w:r>
    </w:p>
    <w:p w:rsidR="00A56666" w:rsidRPr="00213A72" w:rsidRDefault="00A56666" w:rsidP="00A56666">
      <w:pPr>
        <w:spacing w:after="160" w:line="256" w:lineRule="auto"/>
        <w:contextualSpacing/>
        <w:rPr>
          <w:rFonts w:ascii="Palatino Linotype" w:eastAsiaTheme="minorHAnsi" w:hAnsi="Palatino Linotype" w:cstheme="minorHAnsi"/>
        </w:rPr>
      </w:pPr>
    </w:p>
    <w:p w:rsidR="00A56666" w:rsidRPr="009B2BA6" w:rsidRDefault="00A56666" w:rsidP="00A56666">
      <w:pPr>
        <w:spacing w:after="160" w:line="256" w:lineRule="auto"/>
        <w:contextualSpacing/>
        <w:rPr>
          <w:rFonts w:ascii="Palatino Linotype" w:eastAsiaTheme="minorHAnsi" w:hAnsi="Palatino Linotype" w:cstheme="minorHAnsi"/>
          <w:sz w:val="22"/>
        </w:rPr>
      </w:pPr>
    </w:p>
    <w:p w:rsidR="00A56666" w:rsidRDefault="00A56666" w:rsidP="00A56666"/>
    <w:sectPr w:rsidR="00A56666" w:rsidSect="00E67F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C6B2A"/>
    <w:multiLevelType w:val="hybridMultilevel"/>
    <w:tmpl w:val="B89EF9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6666"/>
    <w:rsid w:val="000823B2"/>
    <w:rsid w:val="0017043A"/>
    <w:rsid w:val="00283C3D"/>
    <w:rsid w:val="003A4706"/>
    <w:rsid w:val="004103DC"/>
    <w:rsid w:val="00A56666"/>
    <w:rsid w:val="00E5454C"/>
    <w:rsid w:val="00E67F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cp:lastPrinted>2018-05-09T11:14:00Z</cp:lastPrinted>
  <dcterms:created xsi:type="dcterms:W3CDTF">2018-05-09T11:10:00Z</dcterms:created>
  <dcterms:modified xsi:type="dcterms:W3CDTF">2018-05-10T13:28:00Z</dcterms:modified>
</cp:coreProperties>
</file>