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AA" w:rsidRPr="00913649" w:rsidRDefault="005F5BAA" w:rsidP="005F5BAA">
      <w:pPr>
        <w:jc w:val="right"/>
        <w:rPr>
          <w:rFonts w:ascii="Palatino Linotype" w:hAnsi="Palatino Linotype"/>
        </w:rPr>
      </w:pPr>
      <w:r w:rsidRPr="007671BC">
        <w:rPr>
          <w:rFonts w:ascii="Palatino Linotype" w:hAnsi="Palatino Linotype"/>
          <w:noProof/>
          <w:lang w:eastAsia="en-GB"/>
        </w:rPr>
        <w:drawing>
          <wp:anchor distT="0" distB="0" distL="114300" distR="114300" simplePos="0" relativeHeight="251659264" behindDoc="1" locked="0" layoutInCell="1" allowOverlap="1">
            <wp:simplePos x="0" y="0"/>
            <wp:positionH relativeFrom="column">
              <wp:posOffset>133350</wp:posOffset>
            </wp:positionH>
            <wp:positionV relativeFrom="paragraph">
              <wp:posOffset>9525</wp:posOffset>
            </wp:positionV>
            <wp:extent cx="962025" cy="1266825"/>
            <wp:effectExtent l="19050" t="0" r="9525" b="0"/>
            <wp:wrapTight wrapText="bothSides">
              <wp:wrapPolygon edited="0">
                <wp:start x="-428" y="0"/>
                <wp:lineTo x="-428" y="21438"/>
                <wp:lineTo x="21814" y="21438"/>
                <wp:lineTo x="21814" y="0"/>
                <wp:lineTo x="-428" y="0"/>
              </wp:wrapPolygon>
            </wp:wrapTight>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anchor>
        </w:drawing>
      </w:r>
      <w:r w:rsidRPr="007671BC">
        <w:rPr>
          <w:rFonts w:ascii="Palatino Linotype" w:hAnsi="Palatino Linotype"/>
        </w:rPr>
        <w:t xml:space="preserve">   </w:t>
      </w:r>
      <w:r w:rsidRPr="00913649">
        <w:rPr>
          <w:rFonts w:ascii="Palatino Linotype" w:hAnsi="Palatino Linotype"/>
        </w:rPr>
        <w:t xml:space="preserve">Ashley Primary School </w:t>
      </w:r>
    </w:p>
    <w:p w:rsidR="005F5BAA" w:rsidRPr="00913649" w:rsidRDefault="005F5BAA" w:rsidP="005F5BAA">
      <w:pPr>
        <w:jc w:val="right"/>
        <w:rPr>
          <w:rFonts w:ascii="Palatino Linotype" w:hAnsi="Palatino Linotype"/>
        </w:rPr>
      </w:pPr>
      <w:r w:rsidRPr="00913649">
        <w:rPr>
          <w:rFonts w:ascii="Palatino Linotype" w:hAnsi="Palatino Linotype"/>
        </w:rPr>
        <w:t xml:space="preserve">                      Temple Park Road </w:t>
      </w:r>
    </w:p>
    <w:p w:rsidR="005F5BAA" w:rsidRPr="00913649" w:rsidRDefault="005F5BAA" w:rsidP="005F5BAA">
      <w:pPr>
        <w:jc w:val="right"/>
        <w:rPr>
          <w:rFonts w:ascii="Palatino Linotype" w:hAnsi="Palatino Linotype"/>
        </w:rPr>
      </w:pPr>
      <w:r w:rsidRPr="00913649">
        <w:rPr>
          <w:rFonts w:ascii="Palatino Linotype" w:hAnsi="Palatino Linotype"/>
        </w:rPr>
        <w:t xml:space="preserve">South Shields </w:t>
      </w:r>
    </w:p>
    <w:p w:rsidR="005F5BAA" w:rsidRPr="00913649" w:rsidRDefault="005F5BAA" w:rsidP="005F5BAA">
      <w:pPr>
        <w:jc w:val="right"/>
        <w:rPr>
          <w:rFonts w:ascii="Palatino Linotype" w:hAnsi="Palatino Linotype"/>
        </w:rPr>
      </w:pPr>
      <w:r w:rsidRPr="00913649">
        <w:rPr>
          <w:rFonts w:ascii="Palatino Linotype" w:hAnsi="Palatino Linotype"/>
        </w:rPr>
        <w:t>Tyne and Wear</w:t>
      </w:r>
    </w:p>
    <w:p w:rsidR="005F5BAA" w:rsidRPr="00913649" w:rsidRDefault="005F5BAA" w:rsidP="005F5BAA">
      <w:pPr>
        <w:jc w:val="right"/>
        <w:rPr>
          <w:rFonts w:ascii="Palatino Linotype" w:hAnsi="Palatino Linotype"/>
        </w:rPr>
      </w:pPr>
      <w:r w:rsidRPr="00913649">
        <w:rPr>
          <w:rFonts w:ascii="Palatino Linotype" w:hAnsi="Palatino Linotype"/>
        </w:rPr>
        <w:t xml:space="preserve"> NE34 0QA</w:t>
      </w:r>
    </w:p>
    <w:p w:rsidR="005F5BAA" w:rsidRPr="00913649" w:rsidRDefault="005F5BAA" w:rsidP="005F5BAA">
      <w:pPr>
        <w:jc w:val="right"/>
        <w:rPr>
          <w:rFonts w:ascii="Palatino Linotype" w:hAnsi="Palatino Linotype"/>
        </w:rPr>
      </w:pPr>
      <w:r w:rsidRPr="00913649">
        <w:rPr>
          <w:rFonts w:ascii="Palatino Linotype" w:hAnsi="Palatino Linotype"/>
        </w:rPr>
        <w:t>Head Teacher: Mrs D Todd</w:t>
      </w:r>
    </w:p>
    <w:p w:rsidR="005F5BAA" w:rsidRPr="007671BC" w:rsidRDefault="005F5BAA" w:rsidP="005F5BAA">
      <w:pPr>
        <w:jc w:val="right"/>
        <w:rPr>
          <w:rFonts w:ascii="Palatino Linotype" w:hAnsi="Palatino Linotype"/>
        </w:rPr>
      </w:pPr>
      <w:r w:rsidRPr="00913649">
        <w:rPr>
          <w:rFonts w:ascii="Palatino Linotype" w:hAnsi="Palatino Linotype"/>
        </w:rPr>
        <w:t xml:space="preserve">  Telephone Number: 0191 4564977</w:t>
      </w:r>
    </w:p>
    <w:p w:rsidR="005F5BAA" w:rsidRDefault="005F5BAA" w:rsidP="005F5BAA"/>
    <w:p w:rsidR="005F5BAA" w:rsidRPr="00572985" w:rsidRDefault="005F5BAA" w:rsidP="005F5BAA">
      <w:pPr>
        <w:jc w:val="center"/>
        <w:rPr>
          <w:rFonts w:ascii="Palatino Linotype" w:hAnsi="Palatino Linotype"/>
          <w:b/>
          <w:sz w:val="28"/>
          <w:szCs w:val="28"/>
        </w:rPr>
      </w:pPr>
      <w:r w:rsidRPr="00572985">
        <w:rPr>
          <w:rFonts w:ascii="Palatino Linotype" w:hAnsi="Palatino Linotype"/>
          <w:b/>
          <w:sz w:val="28"/>
          <w:szCs w:val="28"/>
        </w:rPr>
        <w:t>Ashley Primary School</w:t>
      </w:r>
    </w:p>
    <w:p w:rsidR="00873AE6" w:rsidRDefault="00873AE6"/>
    <w:p w:rsidR="005F5BAA" w:rsidRDefault="005F5BAA" w:rsidP="005F5BAA">
      <w:pPr>
        <w:jc w:val="center"/>
        <w:rPr>
          <w:rFonts w:ascii="Palatino Linotype" w:hAnsi="Palatino Linotype"/>
          <w:b/>
          <w:u w:val="single"/>
        </w:rPr>
      </w:pPr>
      <w:r>
        <w:rPr>
          <w:rFonts w:ascii="Palatino Linotype" w:hAnsi="Palatino Linotype"/>
          <w:b/>
          <w:u w:val="single"/>
        </w:rPr>
        <w:t>Vital Interests</w:t>
      </w:r>
    </w:p>
    <w:p w:rsidR="005F5BAA" w:rsidRDefault="005F5BAA" w:rsidP="005F5BAA">
      <w:pPr>
        <w:rPr>
          <w:rFonts w:ascii="Palatino Linotype" w:hAnsi="Palatino Linotype"/>
        </w:rPr>
      </w:pPr>
    </w:p>
    <w:p w:rsidR="005F5BAA" w:rsidRDefault="005F5BAA" w:rsidP="005F5BAA">
      <w:pPr>
        <w:rPr>
          <w:rFonts w:ascii="Palatino Linotype" w:hAnsi="Palatino Linotype"/>
        </w:rPr>
      </w:pPr>
      <w:r>
        <w:rPr>
          <w:rFonts w:ascii="Palatino Linotype" w:hAnsi="Palatino Linotype"/>
        </w:rPr>
        <w:t>GDPR has the following lawful bases for processing data:</w:t>
      </w:r>
    </w:p>
    <w:p w:rsidR="005F5BAA" w:rsidRDefault="005F5BAA" w:rsidP="005F5BAA">
      <w:pPr>
        <w:rPr>
          <w:rFonts w:ascii="Palatino Linotype" w:hAnsi="Palatino Linotype"/>
        </w:rPr>
      </w:pPr>
    </w:p>
    <w:p w:rsidR="005F5BAA" w:rsidRPr="00740D06" w:rsidRDefault="005F5BAA" w:rsidP="005F5BAA">
      <w:pPr>
        <w:rPr>
          <w:rFonts w:ascii="Palatino Linotype" w:hAnsi="Palatino Linotype"/>
          <w:b/>
        </w:rPr>
      </w:pPr>
      <w:r w:rsidRPr="00740D06">
        <w:rPr>
          <w:rFonts w:ascii="Palatino Linotype" w:hAnsi="Palatino Linotype"/>
          <w:b/>
        </w:rPr>
        <w:t xml:space="preserve">(d) </w:t>
      </w:r>
      <w:proofErr w:type="gramStart"/>
      <w:r w:rsidRPr="00740D06">
        <w:rPr>
          <w:rFonts w:ascii="Palatino Linotype" w:hAnsi="Palatino Linotype"/>
          <w:b/>
        </w:rPr>
        <w:t>vital</w:t>
      </w:r>
      <w:proofErr w:type="gramEnd"/>
      <w:r w:rsidRPr="00740D06">
        <w:rPr>
          <w:rFonts w:ascii="Palatino Linotype" w:hAnsi="Palatino Linotype"/>
          <w:b/>
        </w:rPr>
        <w:t xml:space="preserve"> interests: the processing is necessary to protect someone’s life.</w:t>
      </w:r>
    </w:p>
    <w:p w:rsidR="005F5BAA" w:rsidRDefault="005F5BAA" w:rsidP="005F5BAA">
      <w:pPr>
        <w:rPr>
          <w:rFonts w:ascii="Palatino Linotype" w:hAnsi="Palatino Linotype"/>
        </w:rPr>
      </w:pPr>
    </w:p>
    <w:p w:rsidR="005F5BAA" w:rsidRDefault="005F5BAA" w:rsidP="005F5BAA">
      <w:pPr>
        <w:rPr>
          <w:rFonts w:ascii="Palatino Linotype" w:hAnsi="Palatino Linotype"/>
        </w:rPr>
      </w:pPr>
      <w:r>
        <w:rPr>
          <w:rFonts w:ascii="Palatino Linotype" w:hAnsi="Palatino Linotype"/>
        </w:rPr>
        <w:t xml:space="preserve">This is one of the lawful bases that the school uses for processing data within GDPR. It is required as the school processes the personal </w:t>
      </w:r>
      <w:proofErr w:type="spellStart"/>
      <w:r>
        <w:rPr>
          <w:rFonts w:ascii="Palatino Linotype" w:hAnsi="Palatino Linotype"/>
        </w:rPr>
        <w:t>datato</w:t>
      </w:r>
      <w:proofErr w:type="spellEnd"/>
      <w:r>
        <w:rPr>
          <w:rFonts w:ascii="Palatino Linotype" w:hAnsi="Palatino Linotype"/>
        </w:rPr>
        <w:t xml:space="preserve"> protect someone’s life</w:t>
      </w:r>
    </w:p>
    <w:p w:rsidR="005F5BAA" w:rsidRDefault="005F5BAA" w:rsidP="005F5BAA">
      <w:pPr>
        <w:rPr>
          <w:rFonts w:ascii="Palatino Linotype" w:hAnsi="Palatino Linotype"/>
        </w:rPr>
      </w:pPr>
    </w:p>
    <w:p w:rsidR="005F5BAA" w:rsidRDefault="005F5BAA" w:rsidP="005F5BAA">
      <w:pPr>
        <w:rPr>
          <w:rFonts w:ascii="Palatino Linotype" w:hAnsi="Palatino Linotype"/>
        </w:rPr>
      </w:pPr>
      <w:r>
        <w:rPr>
          <w:rFonts w:ascii="Palatino Linotype" w:hAnsi="Palatino Linotype"/>
        </w:rPr>
        <w:t>This processing is necessary as without it the school would not be able to protect a person’s vital interests in any other less intrusive way. The school rely on this basis to store medical and special educational needs data to assist the school in protecting someone’s life.</w:t>
      </w:r>
    </w:p>
    <w:p w:rsidR="005F5BAA" w:rsidRDefault="005F5BAA" w:rsidP="005F5BAA">
      <w:pPr>
        <w:rPr>
          <w:rFonts w:ascii="Palatino Linotype" w:hAnsi="Palatino Linotype"/>
        </w:rPr>
      </w:pPr>
    </w:p>
    <w:p w:rsidR="005F5BAA" w:rsidRDefault="005F5BAA" w:rsidP="005F5BAA">
      <w:pPr>
        <w:rPr>
          <w:rFonts w:ascii="Palatino Linotype" w:hAnsi="Palatino Linotype"/>
        </w:rPr>
      </w:pPr>
      <w:r>
        <w:rPr>
          <w:rFonts w:ascii="Palatino Linotype" w:hAnsi="Palatino Linotype"/>
        </w:rPr>
        <w:t>Article 6 (1</w:t>
      </w:r>
      <w:proofErr w:type="gramStart"/>
      <w:r>
        <w:rPr>
          <w:rFonts w:ascii="Palatino Linotype" w:hAnsi="Palatino Linotype"/>
        </w:rPr>
        <w:t>)(</w:t>
      </w:r>
      <w:proofErr w:type="gramEnd"/>
      <w:r>
        <w:rPr>
          <w:rFonts w:ascii="Palatino Linotype" w:hAnsi="Palatino Linotype"/>
        </w:rPr>
        <w:t>d) provides the lawful basis for processing where:</w:t>
      </w:r>
    </w:p>
    <w:p w:rsidR="005F5BAA" w:rsidRDefault="005F5BAA" w:rsidP="005F5BAA">
      <w:pPr>
        <w:rPr>
          <w:rFonts w:ascii="Palatino Linotype" w:hAnsi="Palatino Linotype"/>
        </w:rPr>
      </w:pPr>
    </w:p>
    <w:p w:rsidR="005F5BAA" w:rsidRDefault="005F5BAA" w:rsidP="005F5BAA">
      <w:pPr>
        <w:rPr>
          <w:rFonts w:ascii="Palatino Linotype" w:hAnsi="Palatino Linotype"/>
          <w:i/>
        </w:rPr>
      </w:pPr>
      <w:r>
        <w:rPr>
          <w:rFonts w:ascii="Palatino Linotype" w:hAnsi="Palatino Linotype"/>
          <w:i/>
        </w:rPr>
        <w:t>‘Processing is necessary in order to protect the vital interests of the data subject or of another natural person’</w:t>
      </w:r>
    </w:p>
    <w:p w:rsidR="005F5BAA" w:rsidRDefault="005F5BAA" w:rsidP="005F5BAA">
      <w:pPr>
        <w:rPr>
          <w:rFonts w:ascii="Palatino Linotype" w:hAnsi="Palatino Linotype"/>
          <w:i/>
        </w:rPr>
      </w:pPr>
    </w:p>
    <w:p w:rsidR="005F5BAA" w:rsidRDefault="005F5BAA" w:rsidP="005F5BAA">
      <w:pPr>
        <w:rPr>
          <w:rFonts w:ascii="Palatino Linotype" w:hAnsi="Palatino Linotype"/>
        </w:rPr>
      </w:pPr>
      <w:r>
        <w:rPr>
          <w:rFonts w:ascii="Palatino Linotype" w:hAnsi="Palatino Linotype"/>
        </w:rPr>
        <w:t>Recital 46 provides further guidance:</w:t>
      </w:r>
    </w:p>
    <w:p w:rsidR="005F5BAA" w:rsidRDefault="005F5BAA" w:rsidP="005F5BAA">
      <w:pPr>
        <w:rPr>
          <w:rFonts w:ascii="Palatino Linotype" w:hAnsi="Palatino Linotype"/>
        </w:rPr>
      </w:pPr>
    </w:p>
    <w:p w:rsidR="005F5BAA" w:rsidRDefault="005F5BAA" w:rsidP="005F5BAA">
      <w:pPr>
        <w:rPr>
          <w:rFonts w:ascii="Palatino Linotype" w:hAnsi="Palatino Linotype"/>
          <w:i/>
        </w:rPr>
      </w:pPr>
      <w:r>
        <w:rPr>
          <w:rFonts w:ascii="Palatino Linotype" w:hAnsi="Palatino Linotype"/>
          <w:i/>
        </w:rPr>
        <w:t>‘The processing of personal data should also be regarded as lawful where it is necessary to protect an interest which is essential for the life of the data subject or that of another natural person. Processing of personal data based on the vital interest of another natural person should in principal take place only where the processing cannot be manifestly based on another legal basis.’</w:t>
      </w:r>
    </w:p>
    <w:p w:rsidR="005F5BAA" w:rsidRDefault="005F5BAA" w:rsidP="005F5BAA">
      <w:pPr>
        <w:rPr>
          <w:rFonts w:ascii="Palatino Linotype" w:hAnsi="Palatino Linotype"/>
          <w:i/>
        </w:rPr>
      </w:pPr>
    </w:p>
    <w:p w:rsidR="005F5BAA" w:rsidRDefault="005F5BAA">
      <w:r>
        <w:rPr>
          <w:rFonts w:ascii="Palatino Linotype" w:hAnsi="Palatino Linotype"/>
        </w:rPr>
        <w:t>This lawful basis generally only applies to matters of life and death. This is</w:t>
      </w:r>
      <w:bookmarkStart w:id="0" w:name="_GoBack"/>
      <w:bookmarkEnd w:id="0"/>
      <w:r>
        <w:rPr>
          <w:rFonts w:ascii="Palatino Linotype" w:hAnsi="Palatino Linotype"/>
        </w:rPr>
        <w:t xml:space="preserve"> likely to be relevant for emergency medical care. While the school will </w:t>
      </w:r>
      <w:proofErr w:type="spellStart"/>
      <w:r>
        <w:rPr>
          <w:rFonts w:ascii="Palatino Linotype" w:hAnsi="Palatino Linotype"/>
        </w:rPr>
        <w:t>uselawful</w:t>
      </w:r>
      <w:proofErr w:type="spellEnd"/>
      <w:r>
        <w:rPr>
          <w:rFonts w:ascii="Palatino Linotype" w:hAnsi="Palatino Linotype"/>
        </w:rPr>
        <w:t xml:space="preserve"> basis </w:t>
      </w:r>
      <w:r w:rsidRPr="00740D06">
        <w:rPr>
          <w:rFonts w:ascii="Palatino Linotype" w:hAnsi="Palatino Linotype"/>
          <w:b/>
        </w:rPr>
        <w:t>(a) consent: the individual has given clear consent for you to process their personal data for a specific purpose</w:t>
      </w:r>
      <w:r>
        <w:rPr>
          <w:rFonts w:ascii="Palatino Linotype" w:hAnsi="Palatino Linotype"/>
          <w:b/>
        </w:rPr>
        <w:t xml:space="preserve">, </w:t>
      </w:r>
      <w:r>
        <w:rPr>
          <w:rFonts w:ascii="Palatino Linotype" w:hAnsi="Palatino Linotype"/>
        </w:rPr>
        <w:t xml:space="preserve">for the majority of </w:t>
      </w:r>
      <w:proofErr w:type="gramStart"/>
      <w:r>
        <w:rPr>
          <w:rFonts w:ascii="Palatino Linotype" w:hAnsi="Palatino Linotype"/>
        </w:rPr>
        <w:t>it’s</w:t>
      </w:r>
      <w:proofErr w:type="gramEnd"/>
      <w:r>
        <w:rPr>
          <w:rFonts w:ascii="Palatino Linotype" w:hAnsi="Palatino Linotype"/>
        </w:rPr>
        <w:t xml:space="preserve"> medical and special education needs processing. It may be required to use vital interests in the case of a life and death matter.</w:t>
      </w:r>
    </w:p>
    <w:sectPr w:rsidR="005F5BAA" w:rsidSect="00873A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F5BAA"/>
    <w:rsid w:val="005F5BAA"/>
    <w:rsid w:val="00873A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BA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Hewlett-Packard Company</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2018-05-18T14:39:00Z</dcterms:created>
  <dcterms:modified xsi:type="dcterms:W3CDTF">2018-05-18T14:40:00Z</dcterms:modified>
</cp:coreProperties>
</file>