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D9" w:rsidRDefault="00557D5C">
      <w:pPr>
        <w:pStyle w:val="Heading1"/>
      </w:pPr>
      <w:bookmarkStart w:id="0" w:name="_heading=h.gjdgxs" w:colFirst="0" w:colLast="0"/>
      <w:bookmarkEnd w:id="0"/>
      <w:r>
        <w:t>Pupil premium strategy statement</w:t>
      </w:r>
    </w:p>
    <w:p w:rsidR="00F258D9" w:rsidRDefault="00557D5C">
      <w:pPr>
        <w:pStyle w:val="Heading2"/>
        <w:rPr>
          <w:b w:val="0"/>
          <w:color w:val="000000"/>
          <w:sz w:val="24"/>
          <w:szCs w:val="24"/>
        </w:rPr>
      </w:pPr>
      <w:r>
        <w:rPr>
          <w:b w:val="0"/>
          <w:color w:val="000000"/>
          <w:sz w:val="24"/>
          <w:szCs w:val="24"/>
        </w:rPr>
        <w:t>This statement details our school’s use of pupil premium (and recovery premium for the 202</w:t>
      </w:r>
      <w:r w:rsidR="00041408">
        <w:rPr>
          <w:b w:val="0"/>
          <w:color w:val="000000"/>
          <w:sz w:val="24"/>
          <w:szCs w:val="24"/>
        </w:rPr>
        <w:t>2</w:t>
      </w:r>
      <w:r>
        <w:rPr>
          <w:b w:val="0"/>
          <w:color w:val="000000"/>
          <w:sz w:val="24"/>
          <w:szCs w:val="24"/>
        </w:rPr>
        <w:t xml:space="preserve"> to 202</w:t>
      </w:r>
      <w:r w:rsidR="00041408">
        <w:rPr>
          <w:b w:val="0"/>
          <w:color w:val="000000"/>
          <w:sz w:val="24"/>
          <w:szCs w:val="24"/>
        </w:rPr>
        <w:t>3</w:t>
      </w:r>
      <w:r>
        <w:rPr>
          <w:b w:val="0"/>
          <w:color w:val="000000"/>
          <w:sz w:val="24"/>
          <w:szCs w:val="24"/>
        </w:rPr>
        <w:t xml:space="preserve"> academic year) funding to help improve the attainment of our disadvantaged pupils. </w:t>
      </w:r>
    </w:p>
    <w:p w:rsidR="00F258D9" w:rsidRDefault="00557D5C">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F258D9" w:rsidRDefault="00557D5C">
      <w:pPr>
        <w:pStyle w:val="Heading2"/>
      </w:pPr>
      <w:r>
        <w:t>School overview</w:t>
      </w:r>
    </w:p>
    <w:tbl>
      <w:tblPr>
        <w:tblStyle w:val="ab"/>
        <w:tblW w:w="14560" w:type="dxa"/>
        <w:tblLayout w:type="fixed"/>
        <w:tblLook w:val="0400" w:firstRow="0" w:lastRow="0" w:firstColumn="0" w:lastColumn="0" w:noHBand="0" w:noVBand="1"/>
      </w:tblPr>
      <w:tblGrid>
        <w:gridCol w:w="9565"/>
        <w:gridCol w:w="4995"/>
      </w:tblGrid>
      <w:tr w:rsidR="00F258D9">
        <w:tc>
          <w:tcPr>
            <w:tcW w:w="95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Detail</w:t>
            </w:r>
          </w:p>
        </w:tc>
        <w:tc>
          <w:tcPr>
            <w:tcW w:w="49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Data</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School name</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Holy Trinity CE Primary School</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 xml:space="preserve">Number of pupils in school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highlight w:val="green"/>
              </w:rPr>
            </w:pPr>
            <w:r>
              <w:t>169 (updated Nov 22)</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Proportion (%) of pupil premium eligible pupils</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highlight w:val="green"/>
              </w:rPr>
            </w:pPr>
            <w:r>
              <w:t>52% (updated Nov 22)</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 xml:space="preserve">2022/23 to </w:t>
            </w:r>
          </w:p>
          <w:p w:rsidR="00F258D9" w:rsidRDefault="00557D5C">
            <w:pPr>
              <w:pBdr>
                <w:top w:val="nil"/>
                <w:left w:val="nil"/>
                <w:bottom w:val="nil"/>
                <w:right w:val="nil"/>
                <w:between w:val="nil"/>
              </w:pBdr>
              <w:spacing w:before="60" w:after="60" w:line="240" w:lineRule="auto"/>
              <w:ind w:left="57" w:right="57"/>
              <w:rPr>
                <w:highlight w:val="green"/>
              </w:rPr>
            </w:pPr>
            <w:r>
              <w:rPr>
                <w:color w:val="000000"/>
              </w:rPr>
              <w:t>2025/26</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Date this statement was published</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rPr>
                <w:color w:val="000000"/>
              </w:rPr>
              <w:t>September 2022</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Date on which it will be reviewed</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rPr>
                <w:color w:val="000000"/>
              </w:rPr>
              <w:t>September 2023</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Statement authorised by</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Laura Hall</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Pupil premium lead</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Jess Dillon</w:t>
            </w:r>
          </w:p>
        </w:tc>
      </w:tr>
      <w:tr w:rsidR="00F258D9">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Governor / Trustee lead</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Stephen Rust</w:t>
            </w:r>
          </w:p>
        </w:tc>
      </w:tr>
    </w:tbl>
    <w:p w:rsidR="00F258D9" w:rsidRDefault="00557D5C">
      <w:pPr>
        <w:spacing w:before="480" w:line="240" w:lineRule="auto"/>
        <w:rPr>
          <w:b/>
          <w:color w:val="104F75"/>
          <w:sz w:val="32"/>
          <w:szCs w:val="32"/>
        </w:rPr>
      </w:pPr>
      <w:r>
        <w:rPr>
          <w:b/>
          <w:color w:val="104F75"/>
          <w:sz w:val="32"/>
          <w:szCs w:val="32"/>
        </w:rPr>
        <w:t>Funding overview</w:t>
      </w:r>
    </w:p>
    <w:tbl>
      <w:tblPr>
        <w:tblStyle w:val="ac"/>
        <w:tblW w:w="15184" w:type="dxa"/>
        <w:tblLayout w:type="fixed"/>
        <w:tblLook w:val="0400" w:firstRow="0" w:lastRow="0" w:firstColumn="0" w:lastColumn="0" w:noHBand="0" w:noVBand="1"/>
      </w:tblPr>
      <w:tblGrid>
        <w:gridCol w:w="10430"/>
        <w:gridCol w:w="4754"/>
      </w:tblGrid>
      <w:tr w:rsidR="00F258D9">
        <w:trPr>
          <w:trHeight w:val="376"/>
        </w:trPr>
        <w:tc>
          <w:tcPr>
            <w:tcW w:w="104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258D9" w:rsidRDefault="00557D5C">
            <w:pPr>
              <w:pBdr>
                <w:top w:val="nil"/>
                <w:left w:val="nil"/>
                <w:bottom w:val="nil"/>
                <w:right w:val="nil"/>
                <w:between w:val="nil"/>
              </w:pBdr>
              <w:spacing w:before="60" w:after="60" w:line="240" w:lineRule="auto"/>
              <w:ind w:left="57" w:right="57"/>
            </w:pPr>
            <w:r>
              <w:rPr>
                <w:b/>
              </w:rPr>
              <w:t>Detail</w:t>
            </w:r>
          </w:p>
        </w:tc>
        <w:tc>
          <w:tcPr>
            <w:tcW w:w="47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258D9" w:rsidRDefault="00557D5C">
            <w:pPr>
              <w:pBdr>
                <w:top w:val="nil"/>
                <w:left w:val="nil"/>
                <w:bottom w:val="nil"/>
                <w:right w:val="nil"/>
                <w:between w:val="nil"/>
              </w:pBdr>
              <w:spacing w:before="60" w:after="60" w:line="240" w:lineRule="auto"/>
              <w:ind w:left="57" w:right="57"/>
            </w:pPr>
            <w:r>
              <w:rPr>
                <w:b/>
              </w:rPr>
              <w:t>Amount</w:t>
            </w:r>
          </w:p>
        </w:tc>
      </w:tr>
      <w:tr w:rsidR="00F258D9">
        <w:trPr>
          <w:trHeight w:val="376"/>
        </w:trPr>
        <w:tc>
          <w:tcPr>
            <w:tcW w:w="10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8D9" w:rsidRDefault="00557D5C">
            <w:pPr>
              <w:pBdr>
                <w:top w:val="nil"/>
                <w:left w:val="nil"/>
                <w:bottom w:val="nil"/>
                <w:right w:val="nil"/>
                <w:between w:val="nil"/>
              </w:pBdr>
              <w:spacing w:before="60" w:after="60" w:line="240" w:lineRule="auto"/>
              <w:ind w:left="57" w:right="57"/>
            </w:pPr>
            <w:r>
              <w:lastRenderedPageBreak/>
              <w:t xml:space="preserve">Recovery premium funding allocation this academic year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£12,905</w:t>
            </w:r>
          </w:p>
        </w:tc>
      </w:tr>
      <w:tr w:rsidR="00F258D9">
        <w:trPr>
          <w:trHeight w:val="376"/>
        </w:trPr>
        <w:tc>
          <w:tcPr>
            <w:tcW w:w="10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8D9" w:rsidRDefault="00557D5C">
            <w:pPr>
              <w:pBdr>
                <w:top w:val="nil"/>
                <w:left w:val="nil"/>
                <w:bottom w:val="nil"/>
                <w:right w:val="nil"/>
                <w:between w:val="nil"/>
              </w:pBdr>
              <w:spacing w:before="60" w:after="60" w:line="240" w:lineRule="auto"/>
              <w:ind w:left="57" w:right="57"/>
            </w:pPr>
            <w:r>
              <w:t>Pupil premium funding allocation this academic year</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rPr>
                <w:rFonts w:ascii="Calibri" w:eastAsia="Calibri" w:hAnsi="Calibri" w:cs="Calibri"/>
                <w:color w:val="000000"/>
                <w:highlight w:val="white"/>
              </w:rPr>
              <w:t>£121,880</w:t>
            </w:r>
          </w:p>
        </w:tc>
      </w:tr>
      <w:tr w:rsidR="00F258D9">
        <w:trPr>
          <w:trHeight w:val="376"/>
        </w:trPr>
        <w:tc>
          <w:tcPr>
            <w:tcW w:w="10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8D9" w:rsidRDefault="00557D5C">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£0</w:t>
            </w:r>
          </w:p>
        </w:tc>
      </w:tr>
      <w:tr w:rsidR="00F258D9">
        <w:trPr>
          <w:trHeight w:val="1011"/>
        </w:trPr>
        <w:tc>
          <w:tcPr>
            <w:tcW w:w="10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Total budget for this academic year</w:t>
            </w:r>
          </w:p>
          <w:p w:rsidR="00F258D9" w:rsidRDefault="00557D5C">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£134,785</w:t>
            </w:r>
          </w:p>
        </w:tc>
      </w:tr>
    </w:tbl>
    <w:p w:rsidR="00F258D9" w:rsidRDefault="00557D5C">
      <w:pPr>
        <w:pStyle w:val="Heading1"/>
      </w:pPr>
      <w:r>
        <w:lastRenderedPageBreak/>
        <w:t>Part A: Pupil premium strategy plan</w:t>
      </w:r>
    </w:p>
    <w:p w:rsidR="00F258D9" w:rsidRDefault="00557D5C">
      <w:pPr>
        <w:pStyle w:val="Heading2"/>
      </w:pPr>
      <w:bookmarkStart w:id="1" w:name="_heading=h.30j0zll" w:colFirst="0" w:colLast="0"/>
      <w:bookmarkEnd w:id="1"/>
      <w:r>
        <w:t>Statement of intent</w:t>
      </w:r>
    </w:p>
    <w:tbl>
      <w:tblPr>
        <w:tblStyle w:val="ad"/>
        <w:tblW w:w="14879" w:type="dxa"/>
        <w:tblLayout w:type="fixed"/>
        <w:tblLook w:val="0400" w:firstRow="0" w:lastRow="0" w:firstColumn="0" w:lastColumn="0" w:noHBand="0" w:noVBand="1"/>
      </w:tblPr>
      <w:tblGrid>
        <w:gridCol w:w="14879"/>
      </w:tblGrid>
      <w:tr w:rsidR="00F258D9">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spacing w:before="120"/>
              <w:jc w:val="both"/>
              <w:rPr>
                <w:color w:val="000000"/>
              </w:rPr>
            </w:pPr>
            <w:r>
              <w:rPr>
                <w:color w:val="000000"/>
              </w:rPr>
              <w:t xml:space="preserve">We are an inclusive school that has ambitious expectations for all learners, including those who are disadvantaged. As a church school, we acknowledge that all our pupils are significant to God and value each child’s unique personality and background. We aim to develop their character, talents and abilities to the fullest in His name </w:t>
            </w:r>
          </w:p>
          <w:p w:rsidR="00F258D9" w:rsidRDefault="00557D5C">
            <w:pPr>
              <w:spacing w:before="120"/>
              <w:jc w:val="both"/>
              <w:rPr>
                <w:color w:val="000000"/>
              </w:rPr>
            </w:pPr>
            <w:r>
              <w:rPr>
                <w:color w:val="000000"/>
              </w:rPr>
              <w:t xml:space="preserve">Our intention is that all learners, irrespective of their background or the challenges they face, make good progress and achieve high attainment across all subject areas. We want them to leave school having had a well-rounded education that is rooted in cultural capital. </w:t>
            </w:r>
          </w:p>
          <w:p w:rsidR="00F258D9" w:rsidRDefault="00557D5C">
            <w:pPr>
              <w:jc w:val="both"/>
              <w:rPr>
                <w:color w:val="000000"/>
              </w:rPr>
            </w:pPr>
            <w:r>
              <w:rPr>
                <w:color w:val="000000"/>
              </w:rPr>
              <w:t xml:space="preserve">High-quality teaching is at the forefront of our approach. This is proven to have the greatest impact on closing the disadvantage attainment gap and at the same time will benefit the non-disadvantaged pupils in our school. </w:t>
            </w:r>
          </w:p>
          <w:p w:rsidR="00F258D9" w:rsidRDefault="00557D5C">
            <w:pPr>
              <w:jc w:val="both"/>
              <w:rPr>
                <w:color w:val="000000"/>
              </w:rPr>
            </w:pPr>
            <w:r>
              <w:rPr>
                <w:color w:val="000000"/>
              </w:rPr>
              <w:t xml:space="preserve">We pride ourselves in our ability to identify the needs of the children from a very early point and act appropriately. The whole staff take responsibility for disadvantaged pupils’ outcomes and aware of our school commitment to raise expectations of what they can achieve. For those who are already high </w:t>
            </w:r>
            <w:proofErr w:type="spellStart"/>
            <w:r>
              <w:rPr>
                <w:color w:val="000000"/>
              </w:rPr>
              <w:t>attainers</w:t>
            </w:r>
            <w:proofErr w:type="spellEnd"/>
            <w:r>
              <w:rPr>
                <w:color w:val="000000"/>
              </w:rPr>
              <w:t>, we ensure that they are challenged in the work that they are set and continue to progress throughout their school career.</w:t>
            </w:r>
          </w:p>
        </w:tc>
      </w:tr>
    </w:tbl>
    <w:p w:rsidR="00F258D9" w:rsidRDefault="00557D5C">
      <w:pPr>
        <w:pStyle w:val="Heading2"/>
        <w:spacing w:before="600"/>
        <w:jc w:val="both"/>
      </w:pPr>
      <w:r>
        <w:t>Challenges</w:t>
      </w:r>
    </w:p>
    <w:p w:rsidR="00F258D9" w:rsidRDefault="00557D5C">
      <w:pPr>
        <w:spacing w:before="120" w:line="240" w:lineRule="auto"/>
        <w:jc w:val="both"/>
      </w:pPr>
      <w:r>
        <w:rPr>
          <w:color w:val="000000"/>
        </w:rPr>
        <w:t>This details the key challenges to achievement that we have identified among our disadvantaged pupils.</w:t>
      </w:r>
    </w:p>
    <w:tbl>
      <w:tblPr>
        <w:tblStyle w:val="ae"/>
        <w:tblW w:w="14560" w:type="dxa"/>
        <w:tblLayout w:type="fixed"/>
        <w:tblLook w:val="0400" w:firstRow="0" w:lastRow="0" w:firstColumn="0" w:lastColumn="0" w:noHBand="0" w:noVBand="1"/>
      </w:tblPr>
      <w:tblGrid>
        <w:gridCol w:w="2267"/>
        <w:gridCol w:w="12293"/>
      </w:tblGrid>
      <w:tr w:rsidR="00F258D9">
        <w:tc>
          <w:tcPr>
            <w:tcW w:w="22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rPr>
                <w:b/>
              </w:rPr>
            </w:pPr>
            <w:r>
              <w:rPr>
                <w:b/>
              </w:rPr>
              <w:t>Challenge number</w:t>
            </w:r>
          </w:p>
        </w:tc>
        <w:tc>
          <w:tcPr>
            <w:tcW w:w="122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rPr>
                <w:b/>
              </w:rPr>
            </w:pPr>
            <w:r>
              <w:rPr>
                <w:b/>
              </w:rPr>
              <w:t xml:space="preserve">Detail of challenge </w:t>
            </w:r>
          </w:p>
        </w:tc>
      </w:tr>
      <w:tr w:rsidR="00F258D9">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rPr>
                <w:sz w:val="22"/>
                <w:szCs w:val="22"/>
              </w:rPr>
            </w:pPr>
            <w:r>
              <w:rPr>
                <w:sz w:val="22"/>
                <w:szCs w:val="22"/>
              </w:rPr>
              <w:t>1</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widowControl w:val="0"/>
              <w:pBdr>
                <w:top w:val="nil"/>
                <w:left w:val="nil"/>
                <w:bottom w:val="nil"/>
                <w:right w:val="nil"/>
                <w:between w:val="nil"/>
              </w:pBdr>
              <w:spacing w:after="0" w:line="240" w:lineRule="auto"/>
              <w:jc w:val="both"/>
              <w:rPr>
                <w:highlight w:val="green"/>
              </w:rPr>
            </w:pPr>
            <w:r>
              <w:t>On entry baseline assessments for disadvantaged pupils show low starting points in many areas of the EYFS Framework, with lower communication and language skills.</w:t>
            </w:r>
          </w:p>
        </w:tc>
      </w:tr>
      <w:tr w:rsidR="00F258D9">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rPr>
                <w:sz w:val="22"/>
                <w:szCs w:val="22"/>
              </w:rPr>
            </w:pPr>
            <w:r>
              <w:rPr>
                <w:sz w:val="22"/>
                <w:szCs w:val="22"/>
              </w:rPr>
              <w:lastRenderedPageBreak/>
              <w:t>2</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widowControl w:val="0"/>
              <w:pBdr>
                <w:top w:val="nil"/>
                <w:left w:val="nil"/>
                <w:bottom w:val="nil"/>
                <w:right w:val="nil"/>
                <w:between w:val="nil"/>
              </w:pBdr>
              <w:spacing w:after="0" w:line="240" w:lineRule="auto"/>
              <w:jc w:val="both"/>
              <w:rPr>
                <w:highlight w:val="green"/>
              </w:rPr>
            </w:pPr>
            <w:r>
              <w:t>Limited opportunities/ life experiences beyond their home and immediate community.</w:t>
            </w:r>
          </w:p>
          <w:p w:rsidR="00F258D9" w:rsidRDefault="00F258D9">
            <w:pPr>
              <w:widowControl w:val="0"/>
              <w:pBdr>
                <w:top w:val="nil"/>
                <w:left w:val="nil"/>
                <w:bottom w:val="nil"/>
                <w:right w:val="nil"/>
                <w:between w:val="nil"/>
              </w:pBdr>
              <w:spacing w:after="0" w:line="240" w:lineRule="auto"/>
              <w:jc w:val="both"/>
              <w:rPr>
                <w:sz w:val="22"/>
                <w:szCs w:val="22"/>
                <w:highlight w:val="green"/>
              </w:rPr>
            </w:pPr>
          </w:p>
        </w:tc>
      </w:tr>
      <w:tr w:rsidR="00F258D9">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rPr>
                <w:sz w:val="22"/>
                <w:szCs w:val="22"/>
              </w:rPr>
            </w:pPr>
            <w:r>
              <w:rPr>
                <w:sz w:val="22"/>
                <w:szCs w:val="22"/>
              </w:rPr>
              <w:t>3</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widowControl w:val="0"/>
              <w:pBdr>
                <w:top w:val="nil"/>
                <w:left w:val="nil"/>
                <w:bottom w:val="nil"/>
                <w:right w:val="nil"/>
                <w:between w:val="nil"/>
              </w:pBdr>
              <w:spacing w:after="0" w:line="240" w:lineRule="auto"/>
              <w:jc w:val="both"/>
              <w:rPr>
                <w:highlight w:val="green"/>
              </w:rPr>
            </w:pPr>
            <w:r>
              <w:t>Some pupils who are in receipt of Pupil Premium funding show less secure learning behaviours. Some pupils physically and emotionally lack self-belief, determination and resilience and can lack self-motivation and confidence to improve</w:t>
            </w:r>
          </w:p>
        </w:tc>
      </w:tr>
      <w:tr w:rsidR="00F258D9">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rPr>
                <w:sz w:val="22"/>
                <w:szCs w:val="22"/>
              </w:rPr>
            </w:pPr>
            <w:r>
              <w:rPr>
                <w:sz w:val="22"/>
                <w:szCs w:val="22"/>
              </w:rPr>
              <w:t>4</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widowControl w:val="0"/>
              <w:pBdr>
                <w:top w:val="nil"/>
                <w:left w:val="nil"/>
                <w:bottom w:val="nil"/>
                <w:right w:val="nil"/>
                <w:between w:val="nil"/>
              </w:pBdr>
              <w:spacing w:after="0" w:line="240" w:lineRule="auto"/>
              <w:jc w:val="both"/>
              <w:rPr>
                <w:rFonts w:ascii="Arial Narrow" w:eastAsia="Arial Narrow" w:hAnsi="Arial Narrow" w:cs="Arial Narrow"/>
                <w:highlight w:val="yellow"/>
              </w:rPr>
            </w:pPr>
            <w:r>
              <w:t xml:space="preserve">Persistent absence is above national and local averages for disadvantaged pupils nationally. </w:t>
            </w:r>
          </w:p>
        </w:tc>
      </w:tr>
      <w:tr w:rsidR="00F258D9">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rPr>
                <w:sz w:val="22"/>
                <w:szCs w:val="22"/>
              </w:rPr>
            </w:pPr>
            <w:r>
              <w:rPr>
                <w:sz w:val="22"/>
                <w:szCs w:val="22"/>
              </w:rPr>
              <w:t>5</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widowControl w:val="0"/>
              <w:pBdr>
                <w:top w:val="nil"/>
                <w:left w:val="nil"/>
                <w:bottom w:val="nil"/>
                <w:right w:val="nil"/>
                <w:between w:val="nil"/>
              </w:pBdr>
              <w:spacing w:after="0" w:line="240" w:lineRule="auto"/>
              <w:jc w:val="both"/>
            </w:pPr>
            <w:r>
              <w:t>On tract EXS + data for Reading, Writing and Maths combined is higher for non-pupil premium children than pupil premium children in most classes in 2021/2022</w:t>
            </w:r>
          </w:p>
          <w:p w:rsidR="00F258D9" w:rsidRDefault="00557D5C">
            <w:pPr>
              <w:widowControl w:val="0"/>
              <w:pBdr>
                <w:top w:val="nil"/>
                <w:left w:val="nil"/>
                <w:bottom w:val="nil"/>
                <w:right w:val="nil"/>
                <w:between w:val="nil"/>
              </w:pBdr>
              <w:spacing w:after="0" w:line="240" w:lineRule="auto"/>
              <w:jc w:val="both"/>
            </w:pPr>
            <w:r>
              <w:t>In Year 2 33% PP children were not on track compared to 12% of non-PP children</w:t>
            </w:r>
          </w:p>
          <w:p w:rsidR="00F258D9" w:rsidRDefault="00557D5C">
            <w:pPr>
              <w:widowControl w:val="0"/>
              <w:pBdr>
                <w:top w:val="nil"/>
                <w:left w:val="nil"/>
                <w:bottom w:val="nil"/>
                <w:right w:val="nil"/>
                <w:between w:val="nil"/>
              </w:pBdr>
              <w:spacing w:after="0" w:line="240" w:lineRule="auto"/>
              <w:jc w:val="both"/>
            </w:pPr>
            <w:r>
              <w:t>In Year 4 50% PP children were not on track compared to 46% of non-PP children</w:t>
            </w:r>
          </w:p>
          <w:p w:rsidR="00F258D9" w:rsidRDefault="00557D5C">
            <w:pPr>
              <w:widowControl w:val="0"/>
              <w:pBdr>
                <w:top w:val="nil"/>
                <w:left w:val="nil"/>
                <w:bottom w:val="nil"/>
                <w:right w:val="nil"/>
                <w:between w:val="nil"/>
              </w:pBdr>
              <w:spacing w:after="0" w:line="240" w:lineRule="auto"/>
              <w:jc w:val="both"/>
            </w:pPr>
            <w:r>
              <w:t>In Year 5 25% PP children were not on track compared to 23% of non-PP children</w:t>
            </w:r>
          </w:p>
          <w:p w:rsidR="00F258D9" w:rsidRDefault="00557D5C">
            <w:pPr>
              <w:widowControl w:val="0"/>
              <w:pBdr>
                <w:top w:val="nil"/>
                <w:left w:val="nil"/>
                <w:bottom w:val="nil"/>
                <w:right w:val="nil"/>
                <w:between w:val="nil"/>
              </w:pBdr>
              <w:spacing w:after="0" w:line="240" w:lineRule="auto"/>
              <w:jc w:val="both"/>
            </w:pPr>
            <w:r>
              <w:t>In Year 6 25% PP children were not on track compared to 14% of non-PP children</w:t>
            </w:r>
          </w:p>
        </w:tc>
      </w:tr>
    </w:tbl>
    <w:p w:rsidR="00F258D9" w:rsidRDefault="00557D5C">
      <w:pPr>
        <w:pStyle w:val="Heading2"/>
        <w:spacing w:before="600"/>
      </w:pPr>
      <w:bookmarkStart w:id="2" w:name="_heading=h.1fob9te" w:colFirst="0" w:colLast="0"/>
      <w:bookmarkEnd w:id="2"/>
      <w:r>
        <w:t xml:space="preserve">Intended outcomes </w:t>
      </w:r>
    </w:p>
    <w:p w:rsidR="00F258D9" w:rsidRDefault="00557D5C">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f"/>
        <w:tblW w:w="14560" w:type="dxa"/>
        <w:tblLayout w:type="fixed"/>
        <w:tblLook w:val="0400" w:firstRow="0" w:lastRow="0" w:firstColumn="0" w:lastColumn="0" w:noHBand="0" w:noVBand="1"/>
      </w:tblPr>
      <w:tblGrid>
        <w:gridCol w:w="7391"/>
        <w:gridCol w:w="7169"/>
      </w:tblGrid>
      <w:tr w:rsidR="00F258D9">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Intended outcome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Success criteria</w:t>
            </w:r>
          </w:p>
        </w:tc>
      </w:tr>
      <w:tr w:rsidR="00F258D9">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t xml:space="preserve">Improved Reading attainment among disadvantaged pupils. </w:t>
            </w:r>
          </w:p>
          <w:p w:rsidR="00F258D9" w:rsidRDefault="00557D5C">
            <w:pPr>
              <w:pBdr>
                <w:top w:val="nil"/>
                <w:left w:val="nil"/>
                <w:bottom w:val="nil"/>
                <w:right w:val="nil"/>
                <w:between w:val="nil"/>
              </w:pBdr>
              <w:spacing w:before="60" w:after="60" w:line="240" w:lineRule="auto"/>
              <w:ind w:left="57" w:right="57"/>
              <w:jc w:val="both"/>
            </w:pPr>
            <w:r>
              <w:t xml:space="preserve">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rPr>
                <w:color w:val="000000"/>
              </w:rPr>
              <w:t>Internal and external data to show that reading outcomes are broadly in line with non- disadvantaged children</w:t>
            </w:r>
          </w:p>
        </w:tc>
      </w:tr>
      <w:tr w:rsidR="00F258D9">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t xml:space="preserve">Improved Maths attainment among disadvantaged pupils. </w:t>
            </w:r>
          </w:p>
          <w:p w:rsidR="00F258D9" w:rsidRDefault="00557D5C">
            <w:pPr>
              <w:pBdr>
                <w:top w:val="nil"/>
                <w:left w:val="nil"/>
                <w:bottom w:val="nil"/>
                <w:right w:val="nil"/>
                <w:between w:val="nil"/>
              </w:pBdr>
              <w:spacing w:before="60" w:after="60" w:line="240" w:lineRule="auto"/>
              <w:ind w:left="57" w:right="57"/>
              <w:jc w:val="both"/>
            </w:pPr>
            <w:r>
              <w:t xml:space="preserve">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rPr>
                <w:color w:val="000000"/>
              </w:rPr>
              <w:t>Internal and external data to show that maths outcomes are broadly in line with non- disadvantaged children</w:t>
            </w:r>
          </w:p>
        </w:tc>
      </w:tr>
      <w:tr w:rsidR="00F258D9">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t xml:space="preserve">Improved Writing attainment among disadvantaged pupils. </w:t>
            </w:r>
          </w:p>
          <w:p w:rsidR="00F258D9" w:rsidRDefault="00557D5C">
            <w:pPr>
              <w:pBdr>
                <w:top w:val="nil"/>
                <w:left w:val="nil"/>
                <w:bottom w:val="nil"/>
                <w:right w:val="nil"/>
                <w:between w:val="nil"/>
              </w:pBdr>
              <w:spacing w:before="60" w:after="60" w:line="240" w:lineRule="auto"/>
              <w:ind w:left="57" w:right="57"/>
              <w:jc w:val="both"/>
            </w:pPr>
            <w:r>
              <w:t xml:space="preserve">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rPr>
                <w:color w:val="000000"/>
              </w:rPr>
              <w:t>Internal and external data to show that maths outcomes are broadly in line with non- disadvantaged children</w:t>
            </w:r>
          </w:p>
        </w:tc>
      </w:tr>
      <w:tr w:rsidR="00F258D9">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t>Improved attendance for all pupils, particularly our disadvantaged pupils children are happy to come to school and are ready to learn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t>Sustained high attendance from 2024/24 demonstrated by:</w:t>
            </w:r>
          </w:p>
          <w:p w:rsidR="00F258D9" w:rsidRDefault="00557D5C">
            <w:pPr>
              <w:numPr>
                <w:ilvl w:val="0"/>
                <w:numId w:val="2"/>
              </w:numPr>
              <w:pBdr>
                <w:top w:val="nil"/>
                <w:left w:val="nil"/>
                <w:bottom w:val="nil"/>
                <w:right w:val="nil"/>
                <w:between w:val="nil"/>
              </w:pBdr>
              <w:spacing w:before="60" w:after="60" w:line="240" w:lineRule="auto"/>
              <w:ind w:right="57"/>
              <w:jc w:val="both"/>
            </w:pPr>
            <w:r>
              <w:t>The overall absence rate for all pupils being above 95%</w:t>
            </w:r>
          </w:p>
          <w:p w:rsidR="00F258D9" w:rsidRDefault="00557D5C">
            <w:pPr>
              <w:numPr>
                <w:ilvl w:val="0"/>
                <w:numId w:val="2"/>
              </w:numPr>
              <w:pBdr>
                <w:top w:val="nil"/>
                <w:left w:val="nil"/>
                <w:bottom w:val="nil"/>
                <w:right w:val="nil"/>
                <w:between w:val="nil"/>
              </w:pBdr>
              <w:spacing w:before="60" w:after="60" w:line="240" w:lineRule="auto"/>
              <w:ind w:right="57"/>
              <w:jc w:val="both"/>
            </w:pPr>
            <w:r>
              <w:lastRenderedPageBreak/>
              <w:t>The percentage of all pupils who are persistently absent being in line with non PP children</w:t>
            </w:r>
          </w:p>
        </w:tc>
      </w:tr>
      <w:tr w:rsidR="00F258D9">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lastRenderedPageBreak/>
              <w:t>Improved social, emotional health for all pupils, particularly our disadvantaged pupils. Children receive appropriate support and advice from services and families.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t xml:space="preserve">Sustained high levels of wellbeing as seen through: </w:t>
            </w:r>
          </w:p>
          <w:p w:rsidR="00F258D9" w:rsidRDefault="00557D5C">
            <w:pPr>
              <w:numPr>
                <w:ilvl w:val="0"/>
                <w:numId w:val="1"/>
              </w:numPr>
              <w:pBdr>
                <w:top w:val="nil"/>
                <w:left w:val="nil"/>
                <w:bottom w:val="nil"/>
                <w:right w:val="nil"/>
                <w:between w:val="nil"/>
              </w:pBdr>
              <w:spacing w:before="60" w:after="60" w:line="240" w:lineRule="auto"/>
              <w:ind w:right="57"/>
              <w:jc w:val="both"/>
            </w:pPr>
            <w:r>
              <w:t>qualitative data from student voice, parent surveys and teacher observations</w:t>
            </w:r>
          </w:p>
          <w:p w:rsidR="00F258D9" w:rsidRDefault="00557D5C">
            <w:pPr>
              <w:numPr>
                <w:ilvl w:val="0"/>
                <w:numId w:val="1"/>
              </w:numPr>
              <w:pBdr>
                <w:top w:val="nil"/>
                <w:left w:val="nil"/>
                <w:bottom w:val="nil"/>
                <w:right w:val="nil"/>
                <w:between w:val="nil"/>
              </w:pBdr>
              <w:spacing w:before="60" w:after="60" w:line="240" w:lineRule="auto"/>
              <w:ind w:right="57"/>
              <w:jc w:val="both"/>
            </w:pPr>
            <w:r>
              <w:t xml:space="preserve">improvements in behaviour </w:t>
            </w:r>
          </w:p>
          <w:p w:rsidR="00F258D9" w:rsidRDefault="00557D5C">
            <w:pPr>
              <w:numPr>
                <w:ilvl w:val="0"/>
                <w:numId w:val="1"/>
              </w:numPr>
              <w:pBdr>
                <w:top w:val="nil"/>
                <w:left w:val="nil"/>
                <w:bottom w:val="nil"/>
                <w:right w:val="nil"/>
                <w:between w:val="nil"/>
              </w:pBdr>
              <w:spacing w:before="60" w:after="60" w:line="240" w:lineRule="auto"/>
              <w:ind w:right="57"/>
              <w:jc w:val="both"/>
            </w:pPr>
            <w:r>
              <w:t>reduction in bullying</w:t>
            </w:r>
          </w:p>
        </w:tc>
      </w:tr>
      <w:tr w:rsidR="00F258D9">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right="57"/>
              <w:jc w:val="both"/>
            </w:pPr>
            <w:r>
              <w:t xml:space="preserve">To sustain an enriched curriculum, full of opportunities for Cultural Capital, for all pupils, particularly disadvantaged pupils.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jc w:val="both"/>
            </w:pPr>
            <w:r>
              <w:t>Sustained enriched curriculum as seen through:</w:t>
            </w:r>
          </w:p>
          <w:p w:rsidR="00F258D9" w:rsidRDefault="00557D5C">
            <w:pPr>
              <w:numPr>
                <w:ilvl w:val="0"/>
                <w:numId w:val="3"/>
              </w:numPr>
              <w:pBdr>
                <w:top w:val="nil"/>
                <w:left w:val="nil"/>
                <w:bottom w:val="nil"/>
                <w:right w:val="nil"/>
                <w:between w:val="nil"/>
              </w:pBdr>
              <w:spacing w:before="60" w:after="60" w:line="240" w:lineRule="auto"/>
              <w:ind w:right="57"/>
              <w:jc w:val="both"/>
            </w:pPr>
            <w:r>
              <w:t>Improvements in attainment across the curriculum</w:t>
            </w:r>
          </w:p>
          <w:p w:rsidR="00F258D9" w:rsidRDefault="00557D5C">
            <w:pPr>
              <w:numPr>
                <w:ilvl w:val="0"/>
                <w:numId w:val="3"/>
              </w:numPr>
              <w:pBdr>
                <w:top w:val="nil"/>
                <w:left w:val="nil"/>
                <w:bottom w:val="nil"/>
                <w:right w:val="nil"/>
                <w:between w:val="nil"/>
              </w:pBdr>
              <w:spacing w:before="60" w:after="60" w:line="240" w:lineRule="auto"/>
              <w:ind w:right="57"/>
              <w:jc w:val="both"/>
            </w:pPr>
            <w:r>
              <w:t>qualitative data from student voice, parent surveys and teacher observations</w:t>
            </w:r>
          </w:p>
        </w:tc>
      </w:tr>
    </w:tbl>
    <w:p w:rsidR="00F258D9" w:rsidRDefault="00F258D9">
      <w:pPr>
        <w:spacing w:after="0" w:line="240" w:lineRule="auto"/>
        <w:rPr>
          <w:b/>
          <w:color w:val="104F75"/>
          <w:sz w:val="32"/>
          <w:szCs w:val="32"/>
        </w:rPr>
      </w:pPr>
    </w:p>
    <w:p w:rsidR="00F258D9" w:rsidRDefault="00557D5C">
      <w:pPr>
        <w:pStyle w:val="Heading2"/>
      </w:pPr>
      <w:r>
        <w:t>Activity in this academic year</w:t>
      </w:r>
    </w:p>
    <w:p w:rsidR="00F258D9" w:rsidRDefault="00041408">
      <w:pPr>
        <w:spacing w:after="480"/>
      </w:pPr>
      <w:r>
        <w:rPr>
          <w:noProof/>
        </w:rPr>
        <mc:AlternateContent>
          <mc:Choice Requires="wps">
            <w:drawing>
              <wp:anchor distT="45720" distB="45720" distL="114300" distR="114300" simplePos="0" relativeHeight="251650560" behindDoc="0" locked="0" layoutInCell="1" hidden="0" allowOverlap="1" wp14:anchorId="084406E3" wp14:editId="34C8D7DB">
                <wp:simplePos x="0" y="0"/>
                <wp:positionH relativeFrom="column">
                  <wp:posOffset>4975860</wp:posOffset>
                </wp:positionH>
                <wp:positionV relativeFrom="paragraph">
                  <wp:posOffset>245110</wp:posOffset>
                </wp:positionV>
                <wp:extent cx="4248150" cy="1447800"/>
                <wp:effectExtent l="0" t="0" r="19050" b="1905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4248150" cy="1447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58D9" w:rsidRDefault="00557D5C">
                            <w:pPr>
                              <w:spacing w:after="0" w:line="240" w:lineRule="auto"/>
                              <w:textDirection w:val="btLr"/>
                            </w:pPr>
                            <w:r>
                              <w:rPr>
                                <w:rFonts w:ascii="Arial Narrow" w:eastAsia="Arial Narrow" w:hAnsi="Arial Narrow" w:cs="Arial Narrow"/>
                              </w:rPr>
                              <w:t xml:space="preserve">£2000 CGP homework books (including stretch books) </w:t>
                            </w:r>
                          </w:p>
                          <w:p w:rsidR="00F258D9" w:rsidRDefault="00557D5C">
                            <w:pPr>
                              <w:spacing w:after="0" w:line="240" w:lineRule="auto"/>
                              <w:textDirection w:val="btLr"/>
                            </w:pPr>
                            <w:r>
                              <w:rPr>
                                <w:rFonts w:ascii="Arial Narrow" w:eastAsia="Arial Narrow" w:hAnsi="Arial Narrow" w:cs="Arial Narrow"/>
                              </w:rPr>
                              <w:t>£8000 Latin programme (50% of fee)</w:t>
                            </w:r>
                          </w:p>
                          <w:p w:rsidR="00F258D9" w:rsidRDefault="00557D5C">
                            <w:pPr>
                              <w:spacing w:after="0" w:line="240" w:lineRule="auto"/>
                              <w:textDirection w:val="btLr"/>
                            </w:pPr>
                            <w:r>
                              <w:rPr>
                                <w:rFonts w:ascii="Arial Narrow" w:eastAsia="Arial Narrow" w:hAnsi="Arial Narrow" w:cs="Arial Narrow"/>
                              </w:rPr>
                              <w:t>£54000 teacher salary</w:t>
                            </w:r>
                            <w:r>
                              <w:rPr>
                                <w:rFonts w:ascii="Arial Narrow" w:eastAsia="Arial Narrow" w:hAnsi="Arial Narrow" w:cs="Arial Narrow"/>
                                <w:b/>
                              </w:rPr>
                              <w:t xml:space="preserve"> </w:t>
                            </w:r>
                            <w:r>
                              <w:rPr>
                                <w:rFonts w:ascii="Arial Narrow" w:eastAsia="Arial Narrow" w:hAnsi="Arial Narrow" w:cs="Arial Narrow"/>
                              </w:rPr>
                              <w:t>(7% of salary)</w:t>
                            </w:r>
                            <w:r>
                              <w:rPr>
                                <w:rFonts w:ascii="Arial Narrow" w:eastAsia="Arial Narrow" w:hAnsi="Arial Narrow" w:cs="Arial Narrow"/>
                                <w:b/>
                              </w:rPr>
                              <w:t xml:space="preserve"> </w:t>
                            </w:r>
                          </w:p>
                          <w:p w:rsidR="00F258D9" w:rsidRDefault="00557D5C">
                            <w:pPr>
                              <w:spacing w:after="0" w:line="240" w:lineRule="auto"/>
                              <w:textDirection w:val="btLr"/>
                            </w:pPr>
                            <w:r>
                              <w:rPr>
                                <w:rFonts w:ascii="Arial Narrow" w:eastAsia="Arial Narrow" w:hAnsi="Arial Narrow" w:cs="Arial Narrow"/>
                              </w:rPr>
                              <w:t xml:space="preserve">£3000 towards supply teachers to cover costs of training </w:t>
                            </w:r>
                          </w:p>
                          <w:p w:rsidR="00F258D9" w:rsidRDefault="00557D5C">
                            <w:pPr>
                              <w:spacing w:after="0" w:line="240" w:lineRule="auto"/>
                              <w:textDirection w:val="btLr"/>
                            </w:pPr>
                            <w:r>
                              <w:rPr>
                                <w:rFonts w:ascii="Arial Narrow" w:eastAsia="Arial Narrow" w:hAnsi="Arial Narrow" w:cs="Arial Narrow"/>
                              </w:rPr>
                              <w:t>£5000 on courses for teacher development through Camden Learning</w:t>
                            </w:r>
                          </w:p>
                          <w:p w:rsidR="00F258D9" w:rsidRDefault="00557D5C">
                            <w:pPr>
                              <w:spacing w:after="0"/>
                              <w:textDirection w:val="btLr"/>
                            </w:pPr>
                            <w:r>
                              <w:rPr>
                                <w:rFonts w:ascii="Arial Narrow" w:eastAsia="Arial Narrow" w:hAnsi="Arial Narrow" w:cs="Arial Narrow"/>
                              </w:rPr>
                              <w:t>£300 standardised tests</w:t>
                            </w:r>
                          </w:p>
                          <w:p w:rsidR="00F258D9" w:rsidRDefault="00557D5C" w:rsidP="00041408">
                            <w:pPr>
                              <w:spacing w:after="0"/>
                              <w:textDirection w:val="btLr"/>
                            </w:pPr>
                            <w:r>
                              <w:rPr>
                                <w:rFonts w:ascii="Arial Narrow" w:eastAsia="Arial Narrow" w:hAnsi="Arial Narrow" w:cs="Arial Narrow"/>
                              </w:rPr>
                              <w:t>£300 working memory project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406E3" id="Rectangle 225" o:spid="_x0000_s1026" style="position:absolute;margin-left:391.8pt;margin-top:19.3pt;width:334.5pt;height:114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WtLwIAAHEEAAAOAAAAZHJzL2Uyb0RvYy54bWysVNuO0zAQfUfiHyy/0yRVynajpiu0pQhp&#10;BRULHzB1nMSSb9huk/49Y6e0XUBCQuTBHdvjmXPOzHT1MCpJjtx5YXRNi1lOCdfMNEJ3Nf32dftm&#10;SYkPoBuQRvOanrinD+vXr1aDrfjc9EY23BEMon012Jr2IdgqyzzruQI/M5ZrvGyNUxBw67qscTBg&#10;dCWzeZ6/zQbjGusM497j6Wa6pOsUv205C5/b1vNAZE0RW0irS+s+rtl6BVXnwPaCnWHAP6BQIDQm&#10;vYTaQABycOK3UEowZ7xpw4wZlZm2FYwnDsimyH9h89yD5YkLiuPtRSb//8KyT8edI6Kp6Xy+oESD&#10;wiJ9QdlAd5KTeIgSDdZX6Plsd+6882hGvmPrVPxFJmRMsp4usvIxEIaH5bxcFgtUn+FdUZZ3yzwJ&#10;n12fW+fDB24UiUZNHQJIcsLxyQdMia4/XWI2b6RotkLKtHHd/lE6cgSs8TZ9ETM+eeEmNRlqer+I&#10;NBlgq7USAprKInmvu5TvxQt/GzhP358CR2Ab8P0EIEWIblApEbC3pVA1Rcb4Tcc9h+a9bkg4WdRa&#10;41jQiMwrSiTHIUIjPQ8g5N/9kKbUyDaWaCpKtMK4H6eqxljxZG+aE1baW7YVCPgJfNiBw14vMDv2&#10;P+b9fgCHWORHjQ12X5RRqZA25eIO0RN3e7O/vQHNeoNjhYJO5mNIQxZl0ObdIZhWpDpeoZwxY1+n&#10;Wp1nMA7O7T55Xf8p1j8AAAD//wMAUEsDBBQABgAIAAAAIQDtj2hS3gAAAAsBAAAPAAAAZHJzL2Rv&#10;d25yZXYueG1sTI/LTsQwDEX3SPxDZCQ2iElpIVOVuiOoxBKk6fABmca0FXlUTfrg78msYGVbPro+&#10;Lg+b0WyhyQ/OIjzsEmBkW6cG2yF8nt7uc2A+SKukdpYQfsjDobq+KmWh3GqPtDShYzHE+kIi9CGM&#10;Bee+7clIv3Mj2bj7cpORIY5Tx9Uk1xhuNE+TRHAjBxsv9HKkuqf2u5kNwslnQ0262ftlad5f6/nO&#10;rPID8fZme3kGFmgLfzBc9KM6VNHp7GarPNMI+zwTEUXI8lgvwONTGrszQiqEAF6V/P8P1S8AAAD/&#10;/wMAUEsBAi0AFAAGAAgAAAAhALaDOJL+AAAA4QEAABMAAAAAAAAAAAAAAAAAAAAAAFtDb250ZW50&#10;X1R5cGVzXS54bWxQSwECLQAUAAYACAAAACEAOP0h/9YAAACUAQAACwAAAAAAAAAAAAAAAAAvAQAA&#10;X3JlbHMvLnJlbHNQSwECLQAUAAYACAAAACEAsWeVrS8CAABxBAAADgAAAAAAAAAAAAAAAAAuAgAA&#10;ZHJzL2Uyb0RvYy54bWxQSwECLQAUAAYACAAAACEA7Y9oUt4AAAALAQAADwAAAAAAAAAAAAAAAACJ&#10;BAAAZHJzL2Rvd25yZXYueG1sUEsFBgAAAAAEAAQA8wAAAJQFAAAAAA==&#10;">
                <v:stroke startarrowwidth="narrow" startarrowlength="short" endarrowwidth="narrow" endarrowlength="short"/>
                <v:textbox inset="2.53958mm,1.2694mm,2.53958mm,1.2694mm">
                  <w:txbxContent>
                    <w:p w:rsidR="00F258D9" w:rsidRDefault="00557D5C">
                      <w:pPr>
                        <w:spacing w:after="0" w:line="240" w:lineRule="auto"/>
                        <w:textDirection w:val="btLr"/>
                      </w:pPr>
                      <w:r>
                        <w:rPr>
                          <w:rFonts w:ascii="Arial Narrow" w:eastAsia="Arial Narrow" w:hAnsi="Arial Narrow" w:cs="Arial Narrow"/>
                        </w:rPr>
                        <w:t xml:space="preserve">£2000 CGP homework books (including stretch books) </w:t>
                      </w:r>
                    </w:p>
                    <w:p w:rsidR="00F258D9" w:rsidRDefault="00557D5C">
                      <w:pPr>
                        <w:spacing w:after="0" w:line="240" w:lineRule="auto"/>
                        <w:textDirection w:val="btLr"/>
                      </w:pPr>
                      <w:r>
                        <w:rPr>
                          <w:rFonts w:ascii="Arial Narrow" w:eastAsia="Arial Narrow" w:hAnsi="Arial Narrow" w:cs="Arial Narrow"/>
                        </w:rPr>
                        <w:t>£8000 Latin programme (50% of fee)</w:t>
                      </w:r>
                    </w:p>
                    <w:p w:rsidR="00F258D9" w:rsidRDefault="00557D5C">
                      <w:pPr>
                        <w:spacing w:after="0" w:line="240" w:lineRule="auto"/>
                        <w:textDirection w:val="btLr"/>
                      </w:pPr>
                      <w:r>
                        <w:rPr>
                          <w:rFonts w:ascii="Arial Narrow" w:eastAsia="Arial Narrow" w:hAnsi="Arial Narrow" w:cs="Arial Narrow"/>
                        </w:rPr>
                        <w:t>£54000 teacher salary</w:t>
                      </w:r>
                      <w:r>
                        <w:rPr>
                          <w:rFonts w:ascii="Arial Narrow" w:eastAsia="Arial Narrow" w:hAnsi="Arial Narrow" w:cs="Arial Narrow"/>
                          <w:b/>
                        </w:rPr>
                        <w:t xml:space="preserve"> </w:t>
                      </w:r>
                      <w:r>
                        <w:rPr>
                          <w:rFonts w:ascii="Arial Narrow" w:eastAsia="Arial Narrow" w:hAnsi="Arial Narrow" w:cs="Arial Narrow"/>
                        </w:rPr>
                        <w:t>(7% of salary)</w:t>
                      </w:r>
                      <w:r>
                        <w:rPr>
                          <w:rFonts w:ascii="Arial Narrow" w:eastAsia="Arial Narrow" w:hAnsi="Arial Narrow" w:cs="Arial Narrow"/>
                          <w:b/>
                        </w:rPr>
                        <w:t xml:space="preserve"> </w:t>
                      </w:r>
                    </w:p>
                    <w:p w:rsidR="00F258D9" w:rsidRDefault="00557D5C">
                      <w:pPr>
                        <w:spacing w:after="0" w:line="240" w:lineRule="auto"/>
                        <w:textDirection w:val="btLr"/>
                      </w:pPr>
                      <w:r>
                        <w:rPr>
                          <w:rFonts w:ascii="Arial Narrow" w:eastAsia="Arial Narrow" w:hAnsi="Arial Narrow" w:cs="Arial Narrow"/>
                        </w:rPr>
                        <w:t xml:space="preserve">£3000 towards supply teachers to cover costs of training </w:t>
                      </w:r>
                    </w:p>
                    <w:p w:rsidR="00F258D9" w:rsidRDefault="00557D5C">
                      <w:pPr>
                        <w:spacing w:after="0" w:line="240" w:lineRule="auto"/>
                        <w:textDirection w:val="btLr"/>
                      </w:pPr>
                      <w:r>
                        <w:rPr>
                          <w:rFonts w:ascii="Arial Narrow" w:eastAsia="Arial Narrow" w:hAnsi="Arial Narrow" w:cs="Arial Narrow"/>
                        </w:rPr>
                        <w:t>£5000 on courses for teacher development through Camden Learning</w:t>
                      </w:r>
                    </w:p>
                    <w:p w:rsidR="00F258D9" w:rsidRDefault="00557D5C">
                      <w:pPr>
                        <w:spacing w:after="0"/>
                        <w:textDirection w:val="btLr"/>
                      </w:pPr>
                      <w:r>
                        <w:rPr>
                          <w:rFonts w:ascii="Arial Narrow" w:eastAsia="Arial Narrow" w:hAnsi="Arial Narrow" w:cs="Arial Narrow"/>
                        </w:rPr>
                        <w:t>£300 standardised tests</w:t>
                      </w:r>
                    </w:p>
                    <w:p w:rsidR="00F258D9" w:rsidRDefault="00557D5C" w:rsidP="00041408">
                      <w:pPr>
                        <w:spacing w:after="0"/>
                        <w:textDirection w:val="btLr"/>
                      </w:pPr>
                      <w:r>
                        <w:rPr>
                          <w:rFonts w:ascii="Arial Narrow" w:eastAsia="Arial Narrow" w:hAnsi="Arial Narrow" w:cs="Arial Narrow"/>
                        </w:rPr>
                        <w:t>£300 working memory project</w:t>
                      </w:r>
                    </w:p>
                  </w:txbxContent>
                </v:textbox>
                <w10:wrap type="square"/>
              </v:rect>
            </w:pict>
          </mc:Fallback>
        </mc:AlternateContent>
      </w:r>
      <w:r w:rsidR="00557D5C">
        <w:t xml:space="preserve">This details how we intend to spend our pupil premium (and recovery premium funding) </w:t>
      </w:r>
      <w:r w:rsidR="00557D5C">
        <w:rPr>
          <w:b/>
        </w:rPr>
        <w:t>this academic year</w:t>
      </w:r>
      <w:r w:rsidR="00557D5C">
        <w:t xml:space="preserve"> to address the challenges listed above.</w:t>
      </w:r>
    </w:p>
    <w:p w:rsidR="00F258D9" w:rsidRDefault="00557D5C">
      <w:pPr>
        <w:pStyle w:val="Heading3"/>
      </w:pPr>
      <w:r>
        <w:t>Teaching (for example, CPD, recruitment and retention)</w:t>
      </w:r>
    </w:p>
    <w:p w:rsidR="00F258D9" w:rsidRDefault="00557D5C">
      <w:pPr>
        <w:rPr>
          <w:i/>
        </w:rPr>
      </w:pPr>
      <w:bookmarkStart w:id="3" w:name="_heading=h.3znysh7" w:colFirst="0" w:colLast="0"/>
      <w:bookmarkEnd w:id="3"/>
      <w:r>
        <w:t>Budgeted cost: £ 72,600</w:t>
      </w:r>
    </w:p>
    <w:p w:rsidR="00F258D9" w:rsidRDefault="00F258D9">
      <w:pPr>
        <w:widowControl w:val="0"/>
        <w:pBdr>
          <w:top w:val="nil"/>
          <w:left w:val="nil"/>
          <w:bottom w:val="nil"/>
          <w:right w:val="nil"/>
          <w:between w:val="nil"/>
        </w:pBdr>
        <w:spacing w:after="0" w:line="240" w:lineRule="auto"/>
        <w:rPr>
          <w:rFonts w:ascii="Arial Narrow" w:eastAsia="Arial Narrow" w:hAnsi="Arial Narrow" w:cs="Arial Narrow"/>
        </w:rPr>
      </w:pPr>
    </w:p>
    <w:tbl>
      <w:tblPr>
        <w:tblStyle w:val="af0"/>
        <w:tblW w:w="14560" w:type="dxa"/>
        <w:tblLayout w:type="fixed"/>
        <w:tblLook w:val="0400" w:firstRow="0" w:lastRow="0" w:firstColumn="0" w:lastColumn="0" w:noHBand="0" w:noVBand="1"/>
      </w:tblPr>
      <w:tblGrid>
        <w:gridCol w:w="4126"/>
        <w:gridCol w:w="6529"/>
        <w:gridCol w:w="3905"/>
      </w:tblGrid>
      <w:tr w:rsidR="00F258D9">
        <w:trPr>
          <w:trHeight w:val="564"/>
        </w:trPr>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Challenge number(s) addressed</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line="240" w:lineRule="auto"/>
              <w:ind w:right="57"/>
              <w:rPr>
                <w:color w:val="000000"/>
              </w:rPr>
            </w:pPr>
            <w:r>
              <w:rPr>
                <w:color w:val="000000"/>
              </w:rPr>
              <w:lastRenderedPageBreak/>
              <w:t>Whole school project on Working Memory and ‘sticky knowledge’ to support retention. See SIP.</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Supported by the 2019 Ofsted Framework’s emphasis on progression and retention and Working Memory and Learning: A Practical Guide for Teachers  by </w:t>
            </w:r>
            <w:hyperlink r:id="rId8">
              <w:r>
                <w:rPr>
                  <w:color w:val="0000FF"/>
                  <w:u w:val="single"/>
                </w:rPr>
                <w:t xml:space="preserve">Susan </w:t>
              </w:r>
              <w:proofErr w:type="spellStart"/>
              <w:r>
                <w:rPr>
                  <w:color w:val="0000FF"/>
                  <w:u w:val="single"/>
                </w:rPr>
                <w:t>Gathercole</w:t>
              </w:r>
              <w:proofErr w:type="spellEnd"/>
            </w:hyperlink>
            <w:r>
              <w:rPr>
                <w:color w:val="000000"/>
              </w:rPr>
              <w:t> (Author), </w:t>
            </w:r>
            <w:hyperlink r:id="rId9">
              <w:r>
                <w:rPr>
                  <w:color w:val="0000FF"/>
                  <w:u w:val="single"/>
                </w:rPr>
                <w:t xml:space="preserve">Tracy </w:t>
              </w:r>
              <w:proofErr w:type="spellStart"/>
              <w:r>
                <w:rPr>
                  <w:color w:val="0000FF"/>
                  <w:u w:val="single"/>
                </w:rPr>
                <w:t>Packiam</w:t>
              </w:r>
              <w:proofErr w:type="spellEnd"/>
              <w:r>
                <w:rPr>
                  <w:color w:val="0000FF"/>
                  <w:u w:val="single"/>
                </w:rPr>
                <w:t xml:space="preserve"> </w:t>
              </w:r>
              <w:proofErr w:type="spellStart"/>
              <w:r>
                <w:rPr>
                  <w:color w:val="0000FF"/>
                  <w:u w:val="single"/>
                </w:rPr>
                <w:t>Alloway</w:t>
              </w:r>
              <w:proofErr w:type="spellEnd"/>
            </w:hyperlink>
            <w:r>
              <w:rPr>
                <w:color w:val="000000"/>
              </w:rPr>
              <w:t> (Author)</w:t>
            </w:r>
          </w:p>
          <w:p w:rsidR="00F258D9" w:rsidRDefault="00F258D9">
            <w:pPr>
              <w:pBdr>
                <w:top w:val="nil"/>
                <w:left w:val="nil"/>
                <w:bottom w:val="nil"/>
                <w:right w:val="nil"/>
                <w:between w:val="nil"/>
              </w:pBdr>
              <w:spacing w:before="60" w:after="60" w:line="240" w:lineRule="auto"/>
              <w:ind w:left="57" w:right="57"/>
              <w:rPr>
                <w:color w:val="000000"/>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5</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line="240" w:lineRule="auto"/>
              <w:ind w:left="29" w:right="57"/>
              <w:rPr>
                <w:color w:val="000000"/>
                <w:highlight w:val="white"/>
              </w:rPr>
            </w:pPr>
            <w:r>
              <w:rPr>
                <w:color w:val="000000"/>
              </w:rPr>
              <w:t xml:space="preserve">Purchase of </w:t>
            </w:r>
            <w:r>
              <w:rPr>
                <w:b/>
                <w:color w:val="000000"/>
              </w:rPr>
              <w:t>standardised diagnostic assessments</w:t>
            </w:r>
            <w:r>
              <w:rPr>
                <w:color w:val="000000"/>
              </w:rPr>
              <w:t xml:space="preserve"> (R</w:t>
            </w:r>
            <w:r>
              <w:rPr>
                <w:color w:val="000000"/>
                <w:highlight w:val="white"/>
              </w:rPr>
              <w:t>ising Stars Assessments Y1- 5)</w:t>
            </w:r>
          </w:p>
          <w:p w:rsidR="00F258D9" w:rsidRDefault="00F258D9">
            <w:pPr>
              <w:pBdr>
                <w:top w:val="nil"/>
                <w:left w:val="nil"/>
                <w:bottom w:val="nil"/>
                <w:right w:val="nil"/>
                <w:between w:val="nil"/>
              </w:pBdr>
              <w:spacing w:before="60" w:after="60" w:line="240" w:lineRule="auto"/>
              <w:ind w:left="57" w:right="57"/>
              <w:rPr>
                <w:b/>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Standardised tests can provide reliable insights into the specific strengths and weaknesses of each pupil to help ensure they receive the correct additional support through interventions or teacher instruction:</w:t>
            </w:r>
          </w:p>
          <w:p w:rsidR="00F258D9" w:rsidRDefault="00E92BB6">
            <w:pPr>
              <w:pBdr>
                <w:top w:val="nil"/>
                <w:left w:val="nil"/>
                <w:bottom w:val="nil"/>
                <w:right w:val="nil"/>
                <w:between w:val="nil"/>
              </w:pBdr>
              <w:spacing w:before="60" w:after="60" w:line="240" w:lineRule="auto"/>
              <w:ind w:left="57" w:right="57"/>
              <w:rPr>
                <w:sz w:val="22"/>
                <w:szCs w:val="22"/>
              </w:rPr>
            </w:pPr>
            <w:hyperlink r:id="rId10">
              <w:r w:rsidR="00557D5C">
                <w:rPr>
                  <w:color w:val="0070C0"/>
                </w:rPr>
                <w:t>EEF Standardised Tests</w:t>
              </w:r>
            </w:hyperlink>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5</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line="240" w:lineRule="auto"/>
              <w:ind w:left="29" w:right="57"/>
              <w:rPr>
                <w:color w:val="000000"/>
              </w:rPr>
            </w:pPr>
            <w:r>
              <w:rPr>
                <w:color w:val="000000"/>
              </w:rPr>
              <w:t xml:space="preserve">Teacher’s opportunities for </w:t>
            </w:r>
            <w:r>
              <w:rPr>
                <w:b/>
                <w:color w:val="000000"/>
              </w:rPr>
              <w:t>professional development courses</w:t>
            </w:r>
            <w:r>
              <w:rPr>
                <w:color w:val="000000"/>
              </w:rPr>
              <w:t xml:space="preserve"> (Camden Learning)</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right="57"/>
              <w:rPr>
                <w:color w:val="000000"/>
              </w:rPr>
            </w:pPr>
            <w:r>
              <w:rPr>
                <w:color w:val="000000"/>
              </w:rPr>
              <w:t xml:space="preserve">Courses will help improve the quality of teaching in school by keeping teachers up to date with evidence based teaching and learning strategies. </w:t>
            </w:r>
          </w:p>
          <w:p w:rsidR="00F258D9" w:rsidRDefault="00E92BB6">
            <w:pPr>
              <w:pBdr>
                <w:top w:val="nil"/>
                <w:left w:val="nil"/>
                <w:bottom w:val="nil"/>
                <w:right w:val="nil"/>
                <w:between w:val="nil"/>
              </w:pBdr>
              <w:spacing w:before="60" w:after="60" w:line="240" w:lineRule="auto"/>
              <w:ind w:right="57"/>
              <w:rPr>
                <w:color w:val="000000"/>
              </w:rPr>
            </w:pPr>
            <w:hyperlink r:id="rId11">
              <w:r w:rsidR="00557D5C">
                <w:rPr>
                  <w:color w:val="0000FF"/>
                </w:rPr>
                <w:t>EEF Teacher Development</w:t>
              </w:r>
            </w:hyperlink>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right="57"/>
              <w:rPr>
                <w:sz w:val="22"/>
                <w:szCs w:val="22"/>
              </w:rPr>
            </w:pPr>
            <w:r>
              <w:rPr>
                <w:sz w:val="22"/>
                <w:szCs w:val="22"/>
              </w:rPr>
              <w:t>5, 3, 1</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 xml:space="preserve">Participation in </w:t>
            </w:r>
            <w:r>
              <w:rPr>
                <w:b/>
              </w:rPr>
              <w:t>The Latin programme</w:t>
            </w:r>
          </w:p>
          <w:p w:rsidR="00F258D9" w:rsidRDefault="00F258D9">
            <w:pPr>
              <w:pBdr>
                <w:top w:val="nil"/>
                <w:left w:val="nil"/>
                <w:bottom w:val="nil"/>
                <w:right w:val="nil"/>
                <w:between w:val="nil"/>
              </w:pBdr>
              <w:spacing w:before="60" w:after="60" w:line="240" w:lineRule="auto"/>
              <w:ind w:left="57" w:right="57"/>
            </w:pPr>
          </w:p>
          <w:p w:rsidR="00F258D9" w:rsidRDefault="00F258D9">
            <w:pPr>
              <w:widowControl w:val="0"/>
              <w:pBdr>
                <w:top w:val="nil"/>
                <w:left w:val="nil"/>
                <w:bottom w:val="nil"/>
                <w:right w:val="nil"/>
                <w:between w:val="nil"/>
              </w:pBdr>
              <w:spacing w:after="0" w:line="240" w:lineRule="auto"/>
              <w:rPr>
                <w:i/>
                <w:sz w:val="22"/>
                <w:szCs w:val="22"/>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 xml:space="preserve">We understand that tackling disadvantage is not only about supporting low </w:t>
            </w:r>
            <w:proofErr w:type="spellStart"/>
            <w:r>
              <w:t>attainers</w:t>
            </w:r>
            <w:proofErr w:type="spellEnd"/>
            <w:r>
              <w:t>. We are aware that disadvantaged students who achieve highly in primary school are much less likely than their peers to receive top grades at GCSE. The Latin Programme do project, group work with our higher attaining children.</w:t>
            </w:r>
          </w:p>
          <w:p w:rsidR="00F258D9" w:rsidRDefault="00E92BB6">
            <w:pPr>
              <w:pBdr>
                <w:top w:val="nil"/>
                <w:left w:val="nil"/>
                <w:bottom w:val="nil"/>
                <w:right w:val="nil"/>
                <w:between w:val="nil"/>
              </w:pBdr>
              <w:spacing w:before="60" w:after="60" w:line="240" w:lineRule="auto"/>
              <w:ind w:left="57" w:right="57"/>
            </w:pPr>
            <w:hyperlink r:id="rId12">
              <w:r w:rsidR="00557D5C">
                <w:rPr>
                  <w:color w:val="0000FF"/>
                </w:rPr>
                <w:t xml:space="preserve">EEF Middle and Higher </w:t>
              </w:r>
              <w:proofErr w:type="spellStart"/>
              <w:r w:rsidR="00557D5C">
                <w:rPr>
                  <w:color w:val="0000FF"/>
                </w:rPr>
                <w:t>Attainers</w:t>
              </w:r>
              <w:proofErr w:type="spellEnd"/>
            </w:hyperlink>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5</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Focus on Early Reading and Phonics.</w:t>
            </w:r>
          </w:p>
          <w:p w:rsidR="00F258D9" w:rsidRDefault="00F258D9">
            <w:pPr>
              <w:pBdr>
                <w:top w:val="nil"/>
                <w:left w:val="nil"/>
                <w:bottom w:val="nil"/>
                <w:right w:val="nil"/>
                <w:between w:val="nil"/>
              </w:pBdr>
              <w:spacing w:before="60" w:after="60" w:line="240" w:lineRule="auto"/>
              <w:ind w:left="57" w:right="57"/>
              <w:rPr>
                <w:color w:val="000000"/>
              </w:rPr>
            </w:pPr>
          </w:p>
          <w:p w:rsidR="00F258D9" w:rsidRDefault="00557D5C">
            <w:pPr>
              <w:pBdr>
                <w:top w:val="nil"/>
                <w:left w:val="nil"/>
                <w:bottom w:val="nil"/>
                <w:right w:val="nil"/>
                <w:between w:val="nil"/>
              </w:pBdr>
              <w:spacing w:before="60" w:after="60" w:line="240" w:lineRule="auto"/>
              <w:ind w:left="57" w:right="57"/>
              <w:rPr>
                <w:color w:val="000000"/>
              </w:rPr>
            </w:pPr>
            <w:r>
              <w:rPr>
                <w:color w:val="000000"/>
              </w:rPr>
              <w:t xml:space="preserve">Purchase of </w:t>
            </w:r>
            <w:r>
              <w:rPr>
                <w:b/>
                <w:color w:val="000000"/>
              </w:rPr>
              <w:t>Essential Letters and Sounds</w:t>
            </w:r>
            <w:r>
              <w:rPr>
                <w:color w:val="000000"/>
              </w:rPr>
              <w:t xml:space="preserve">- a </w:t>
            </w:r>
            <w:hyperlink r:id="rId13">
              <w:proofErr w:type="spellStart"/>
              <w:r>
                <w:rPr>
                  <w:color w:val="0070C0"/>
                  <w:u w:val="single"/>
                </w:rPr>
                <w:t>DfE</w:t>
              </w:r>
              <w:proofErr w:type="spellEnd"/>
              <w:r>
                <w:rPr>
                  <w:color w:val="0070C0"/>
                  <w:u w:val="single"/>
                </w:rPr>
                <w:t xml:space="preserve"> validated Systematic Synthetic Phonics programme</w:t>
              </w:r>
            </w:hyperlink>
            <w:r>
              <w:rPr>
                <w:color w:val="000000"/>
              </w:rPr>
              <w:t xml:space="preserve"> - to secure stronger phonics teaching for all pupils.</w:t>
            </w:r>
          </w:p>
          <w:p w:rsidR="00F258D9" w:rsidRDefault="00F258D9">
            <w:pPr>
              <w:pBdr>
                <w:top w:val="nil"/>
                <w:left w:val="nil"/>
                <w:bottom w:val="nil"/>
                <w:right w:val="nil"/>
                <w:between w:val="nil"/>
              </w:pBdr>
              <w:spacing w:before="60" w:after="60" w:line="240" w:lineRule="auto"/>
              <w:ind w:left="57" w:right="57"/>
              <w:rPr>
                <w:color w:val="000000"/>
              </w:rPr>
            </w:pPr>
          </w:p>
          <w:p w:rsidR="00F258D9" w:rsidRDefault="00557D5C">
            <w:pPr>
              <w:pBdr>
                <w:top w:val="nil"/>
                <w:left w:val="nil"/>
                <w:bottom w:val="nil"/>
                <w:right w:val="nil"/>
                <w:between w:val="nil"/>
              </w:pBdr>
              <w:spacing w:before="60" w:after="60" w:line="240" w:lineRule="auto"/>
              <w:ind w:left="57" w:right="57"/>
              <w:rPr>
                <w:rFonts w:ascii="Arial Narrow" w:eastAsia="Arial Narrow" w:hAnsi="Arial Narrow" w:cs="Arial Narrow"/>
              </w:rPr>
            </w:pPr>
            <w:r>
              <w:rPr>
                <w:color w:val="000000"/>
              </w:rPr>
              <w:lastRenderedPageBreak/>
              <w:t xml:space="preserve">Purchase of new phonically </w:t>
            </w:r>
            <w:proofErr w:type="spellStart"/>
            <w:r>
              <w:rPr>
                <w:color w:val="000000"/>
              </w:rPr>
              <w:t>decodable</w:t>
            </w:r>
            <w:proofErr w:type="spellEnd"/>
            <w:r>
              <w:rPr>
                <w:color w:val="000000"/>
              </w:rPr>
              <w:t xml:space="preserve"> books including non-fiction and blending books.</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lastRenderedPageBreak/>
              <w:t xml:space="preserve">Phonics approaches have a strong evidence base that indicates a positive impact on the accuracy of word reading (though not necessarily comprehension), particularly for disadvantaged pupils: </w:t>
            </w:r>
          </w:p>
          <w:p w:rsidR="00F258D9" w:rsidRDefault="00E92BB6">
            <w:pPr>
              <w:pBdr>
                <w:top w:val="nil"/>
                <w:left w:val="nil"/>
                <w:bottom w:val="nil"/>
                <w:right w:val="nil"/>
                <w:between w:val="nil"/>
              </w:pBdr>
              <w:spacing w:before="60" w:after="60" w:line="240" w:lineRule="auto"/>
              <w:ind w:left="57" w:right="57"/>
              <w:rPr>
                <w:rFonts w:ascii="Arial Narrow" w:eastAsia="Arial Narrow" w:hAnsi="Arial Narrow" w:cs="Arial Narrow"/>
              </w:rPr>
            </w:pPr>
            <w:hyperlink r:id="rId14">
              <w:r w:rsidR="00557D5C">
                <w:rPr>
                  <w:color w:val="0070C0"/>
                  <w:u w:val="single"/>
                </w:rPr>
                <w:t>EEF Phonics</w:t>
              </w:r>
            </w:hyperlink>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1, 5</w:t>
            </w:r>
          </w:p>
        </w:tc>
      </w:tr>
    </w:tbl>
    <w:p w:rsidR="00F258D9" w:rsidRDefault="00557D5C">
      <w:pPr>
        <w:keepNext/>
        <w:spacing w:after="60"/>
      </w:pPr>
      <w:r>
        <w:rPr>
          <w:noProof/>
        </w:rPr>
        <w:lastRenderedPageBreak/>
        <mc:AlternateContent>
          <mc:Choice Requires="wps">
            <w:drawing>
              <wp:anchor distT="45720" distB="45720" distL="114300" distR="114300" simplePos="0" relativeHeight="251651584" behindDoc="0" locked="0" layoutInCell="1" hidden="0" allowOverlap="1">
                <wp:simplePos x="0" y="0"/>
                <wp:positionH relativeFrom="column">
                  <wp:posOffset>6976110</wp:posOffset>
                </wp:positionH>
                <wp:positionV relativeFrom="paragraph">
                  <wp:posOffset>74930</wp:posOffset>
                </wp:positionV>
                <wp:extent cx="2247900" cy="1190625"/>
                <wp:effectExtent l="0" t="0" r="19050" b="28575"/>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2247900" cy="1190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58D9" w:rsidRDefault="00557D5C">
                            <w:pPr>
                              <w:spacing w:after="0" w:line="240" w:lineRule="auto"/>
                              <w:textDirection w:val="btLr"/>
                            </w:pPr>
                            <w:r>
                              <w:rPr>
                                <w:rFonts w:ascii="Arial Narrow" w:eastAsia="Arial Narrow" w:hAnsi="Arial Narrow" w:cs="Arial Narrow"/>
                              </w:rPr>
                              <w:t>MARK interventions: £1000</w:t>
                            </w:r>
                          </w:p>
                          <w:p w:rsidR="00F258D9" w:rsidRDefault="00557D5C">
                            <w:pPr>
                              <w:spacing w:after="0" w:line="240" w:lineRule="auto"/>
                              <w:textDirection w:val="btLr"/>
                            </w:pPr>
                            <w:r>
                              <w:rPr>
                                <w:rFonts w:ascii="Arial Narrow" w:eastAsia="Arial Narrow" w:hAnsi="Arial Narrow" w:cs="Arial Narrow"/>
                              </w:rPr>
                              <w:t>Resources for interventions: £500</w:t>
                            </w:r>
                          </w:p>
                          <w:p w:rsidR="00F258D9" w:rsidRDefault="00557D5C">
                            <w:pPr>
                              <w:spacing w:after="0" w:line="240" w:lineRule="auto"/>
                              <w:textDirection w:val="btLr"/>
                            </w:pPr>
                            <w:r>
                              <w:rPr>
                                <w:rFonts w:ascii="Arial Narrow" w:eastAsia="Arial Narrow" w:hAnsi="Arial Narrow" w:cs="Arial Narrow"/>
                              </w:rPr>
                              <w:t>2x HLTA salary (50%) £30,000</w:t>
                            </w:r>
                          </w:p>
                          <w:p w:rsidR="00F258D9" w:rsidRDefault="00557D5C">
                            <w:pPr>
                              <w:spacing w:after="0"/>
                              <w:textDirection w:val="btLr"/>
                            </w:pPr>
                            <w:r>
                              <w:rPr>
                                <w:rFonts w:ascii="Arial Narrow" w:eastAsia="Arial Narrow" w:hAnsi="Arial Narrow" w:cs="Arial Narrow"/>
                              </w:rPr>
                              <w:t>SEND provision map £2000</w:t>
                            </w:r>
                          </w:p>
                          <w:p w:rsidR="00F258D9" w:rsidRDefault="00557D5C">
                            <w:pPr>
                              <w:textDirection w:val="btLr"/>
                            </w:pPr>
                            <w:r>
                              <w:rPr>
                                <w:rFonts w:ascii="Arial Narrow" w:eastAsia="Arial Narrow" w:hAnsi="Arial Narrow" w:cs="Arial Narrow"/>
                              </w:rPr>
                              <w:t>TA salary for class interventions (33%) £7,500</w:t>
                            </w:r>
                          </w:p>
                          <w:p w:rsidR="00F258D9" w:rsidRDefault="00F258D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21" o:spid="_x0000_s1027" style="position:absolute;margin-left:549.3pt;margin-top:5.9pt;width:177pt;height:93.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xBLgIAAHEEAAAOAAAAZHJzL2Uyb0RvYy54bWysVNuO2jAQfa/Uf7D8XnIp7C4RYVUtpaq0&#10;alG3+wGD4ySWfKttSPj7jg0Ftq20UtU8mLE9PnPmzAyL+1FJsufOC6NrWkxySrhmphG6q+nz9/W7&#10;O0p8AN2ANJrX9MA9vV++fbMYbMVL0xvZcEcQRPtqsDXtQ7BVlnnWcwV+YizXeNkapyDg1nVZ42BA&#10;dCWzMs9vssG4xjrDuPd4ujpe0mXCb1vOwte29TwQWVPkFtLq0rqNa7ZcQNU5sL1gJxrwDywUCI1B&#10;z1ArCEB2TvwBpQRzxps2TJhRmWlbwXjKAbMp8t+yeerB8pQLiuPtWSb//2DZl/3GEdHUtCwLSjQo&#10;LNI3lA10JzmJhyjRYH2Fnk924047j2bMd2ydir+YCRmTrIezrHwMhOFhWU5v5zmqz/CuKOb5TTmL&#10;qNnluXU+fOJGkWjU1CGBJCfsH304uv5yidG8kaJZCynTxnXbB+nIHrDG6/Sd0F+4SU2Gms5nGJsw&#10;wFZrJQQ0lcXkve5SvBcv/DVwnr6/AUdiK/D9kUBCiG5QKRGwt6VQNb07v4aq59B81A0JB4taaxwL&#10;Gpl5RYnkOERopOcBhHzdD0WUGrWMJToWJVph3I6pqu8jVjzZmuaAlfaWrQUSfgQfNuCw17HqA/Y/&#10;xv2xA4dc5GeNDTYvplGpkDbT2W2sn7u+2V7fgGa9wbFCQY/mQ0hDFmXQ5sMumFakOl6onDhjX6dO&#10;OM1gHJzrffK6/FMsfwIAAP//AwBQSwMEFAAGAAgAAAAhAAp+Av7dAAAADAEAAA8AAABkcnMvZG93&#10;bnJldi54bWxMT8tOwzAQvCPxD9YicUHUaQulCXEqiMSRSqR8gBsvSYS9jmLnwd+zPcFtZmc0O5Mf&#10;FmfFhEPoPClYrxIQSLU3HTUKPk9v93sQIWoy2npCBT8Y4FBcX+U6M36mD5yq2AgOoZBpBW2MfSZl&#10;qFt0Oqx8j8Talx+cjkyHRppBzxzurNwkyU463RF/aHWPZYv1dzU6Baew7Uq01VOYpur9tRzv3KyP&#10;St3eLC/PICIu8c8Ml/pcHQrudPYjmSAs8yTd79jLaM0bLo6Hxw1fzozSdAuyyOX/EcUvAAAA//8D&#10;AFBLAQItABQABgAIAAAAIQC2gziS/gAAAOEBAAATAAAAAAAAAAAAAAAAAAAAAABbQ29udGVudF9U&#10;eXBlc10ueG1sUEsBAi0AFAAGAAgAAAAhADj9If/WAAAAlAEAAAsAAAAAAAAAAAAAAAAALwEAAF9y&#10;ZWxzLy5yZWxzUEsBAi0AFAAGAAgAAAAhAMS+3EEuAgAAcQQAAA4AAAAAAAAAAAAAAAAALgIAAGRy&#10;cy9lMm9Eb2MueG1sUEsBAi0AFAAGAAgAAAAhAAp+Av7dAAAADAEAAA8AAAAAAAAAAAAAAAAAiAQA&#10;AGRycy9kb3ducmV2LnhtbFBLBQYAAAAABAAEAPMAAACSBQAAAAA=&#10;">
                <v:stroke startarrowwidth="narrow" startarrowlength="short" endarrowwidth="narrow" endarrowlength="short"/>
                <v:textbox inset="2.53958mm,1.2694mm,2.53958mm,1.2694mm">
                  <w:txbxContent>
                    <w:p w:rsidR="00F258D9" w:rsidRDefault="00557D5C">
                      <w:pPr>
                        <w:spacing w:after="0" w:line="240" w:lineRule="auto"/>
                        <w:textDirection w:val="btLr"/>
                      </w:pPr>
                      <w:r>
                        <w:rPr>
                          <w:rFonts w:ascii="Arial Narrow" w:eastAsia="Arial Narrow" w:hAnsi="Arial Narrow" w:cs="Arial Narrow"/>
                        </w:rPr>
                        <w:t>MARK interventions: £1000</w:t>
                      </w:r>
                    </w:p>
                    <w:p w:rsidR="00F258D9" w:rsidRDefault="00557D5C">
                      <w:pPr>
                        <w:spacing w:after="0" w:line="240" w:lineRule="auto"/>
                        <w:textDirection w:val="btLr"/>
                      </w:pPr>
                      <w:r>
                        <w:rPr>
                          <w:rFonts w:ascii="Arial Narrow" w:eastAsia="Arial Narrow" w:hAnsi="Arial Narrow" w:cs="Arial Narrow"/>
                        </w:rPr>
                        <w:t>Resources for interventions: £500</w:t>
                      </w:r>
                    </w:p>
                    <w:p w:rsidR="00F258D9" w:rsidRDefault="00557D5C">
                      <w:pPr>
                        <w:spacing w:after="0" w:line="240" w:lineRule="auto"/>
                        <w:textDirection w:val="btLr"/>
                      </w:pPr>
                      <w:r>
                        <w:rPr>
                          <w:rFonts w:ascii="Arial Narrow" w:eastAsia="Arial Narrow" w:hAnsi="Arial Narrow" w:cs="Arial Narrow"/>
                        </w:rPr>
                        <w:t>2x HLTA salary (50%) £30,000</w:t>
                      </w:r>
                    </w:p>
                    <w:p w:rsidR="00F258D9" w:rsidRDefault="00557D5C">
                      <w:pPr>
                        <w:spacing w:after="0"/>
                        <w:textDirection w:val="btLr"/>
                      </w:pPr>
                      <w:r>
                        <w:rPr>
                          <w:rFonts w:ascii="Arial Narrow" w:eastAsia="Arial Narrow" w:hAnsi="Arial Narrow" w:cs="Arial Narrow"/>
                        </w:rPr>
                        <w:t>SEND provision map £2000</w:t>
                      </w:r>
                    </w:p>
                    <w:p w:rsidR="00F258D9" w:rsidRDefault="00557D5C">
                      <w:pPr>
                        <w:textDirection w:val="btLr"/>
                      </w:pPr>
                      <w:r>
                        <w:rPr>
                          <w:rFonts w:ascii="Arial Narrow" w:eastAsia="Arial Narrow" w:hAnsi="Arial Narrow" w:cs="Arial Narrow"/>
                        </w:rPr>
                        <w:t>TA salary for class interventions (33%) £7,500</w:t>
                      </w:r>
                    </w:p>
                    <w:p w:rsidR="00F258D9" w:rsidRDefault="00F258D9">
                      <w:pPr>
                        <w:textDirection w:val="btLr"/>
                      </w:pPr>
                    </w:p>
                  </w:txbxContent>
                </v:textbox>
                <w10:wrap type="square"/>
              </v:rect>
            </w:pict>
          </mc:Fallback>
        </mc:AlternateContent>
      </w:r>
    </w:p>
    <w:p w:rsidR="00F258D9" w:rsidRDefault="00557D5C">
      <w:pPr>
        <w:rPr>
          <w:b/>
          <w:color w:val="104F75"/>
          <w:sz w:val="28"/>
          <w:szCs w:val="28"/>
        </w:rPr>
      </w:pPr>
      <w:r>
        <w:rPr>
          <w:b/>
          <w:color w:val="104F75"/>
          <w:sz w:val="28"/>
          <w:szCs w:val="28"/>
        </w:rPr>
        <w:t xml:space="preserve">Targeted academic support (for example, tutoring, one-to-one support structured interventions) </w:t>
      </w:r>
    </w:p>
    <w:p w:rsidR="00F258D9" w:rsidRDefault="00557D5C">
      <w:pPr>
        <w:rPr>
          <w:i/>
        </w:rPr>
      </w:pPr>
      <w:r>
        <w:t>Budgeted cost: £ 41,000</w:t>
      </w:r>
    </w:p>
    <w:p w:rsidR="00F258D9" w:rsidRDefault="00F258D9">
      <w:pPr>
        <w:spacing w:after="0"/>
      </w:pPr>
    </w:p>
    <w:tbl>
      <w:tblPr>
        <w:tblStyle w:val="af1"/>
        <w:tblW w:w="14560" w:type="dxa"/>
        <w:tblLayout w:type="fixed"/>
        <w:tblLook w:val="0400" w:firstRow="0" w:lastRow="0" w:firstColumn="0" w:lastColumn="0" w:noHBand="0" w:noVBand="1"/>
      </w:tblPr>
      <w:tblGrid>
        <w:gridCol w:w="3874"/>
        <w:gridCol w:w="7102"/>
        <w:gridCol w:w="3584"/>
      </w:tblGrid>
      <w:tr w:rsidR="00F258D9">
        <w:tc>
          <w:tcPr>
            <w:tcW w:w="3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Activity</w:t>
            </w:r>
          </w:p>
        </w:tc>
        <w:tc>
          <w:tcPr>
            <w:tcW w:w="71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Evidence that supports this approach</w:t>
            </w:r>
          </w:p>
        </w:tc>
        <w:tc>
          <w:tcPr>
            <w:tcW w:w="35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Challenge number(s) addressed</w:t>
            </w:r>
          </w:p>
        </w:tc>
      </w:tr>
      <w:tr w:rsidR="00F258D9">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i/>
                <w:sz w:val="22"/>
                <w:szCs w:val="22"/>
              </w:rPr>
            </w:pPr>
            <w:r>
              <w:rPr>
                <w:color w:val="000000"/>
              </w:rPr>
              <w:t>Additional phonics sessions targeted at disadvantaged pupils who require further phonics support. We believe in ‘keeping up’, not ‘catching up’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F258D9" w:rsidRDefault="00E92BB6">
            <w:pPr>
              <w:pBdr>
                <w:top w:val="nil"/>
                <w:left w:val="nil"/>
                <w:bottom w:val="nil"/>
                <w:right w:val="nil"/>
                <w:between w:val="nil"/>
              </w:pBdr>
              <w:spacing w:before="60" w:after="60" w:line="240" w:lineRule="auto"/>
              <w:ind w:left="57" w:right="57"/>
              <w:rPr>
                <w:sz w:val="22"/>
                <w:szCs w:val="22"/>
              </w:rPr>
            </w:pPr>
            <w:hyperlink r:id="rId15">
              <w:r w:rsidR="00557D5C">
                <w:rPr>
                  <w:color w:val="0070C0"/>
                  <w:u w:val="single"/>
                </w:rPr>
                <w:t>EEF Phonics</w:t>
              </w:r>
            </w:hyperlink>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1, 5</w:t>
            </w:r>
          </w:p>
        </w:tc>
      </w:tr>
      <w:tr w:rsidR="00F258D9">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Teaching Assistant out of class 1 day a week to deliver Word Aware to KS1 and KS2</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F258D9">
            <w:pPr>
              <w:pBdr>
                <w:top w:val="nil"/>
                <w:left w:val="nil"/>
                <w:bottom w:val="nil"/>
                <w:right w:val="nil"/>
                <w:between w:val="nil"/>
              </w:pBdr>
              <w:spacing w:before="60" w:after="60" w:line="240" w:lineRule="auto"/>
              <w:ind w:left="57" w:right="57"/>
              <w:rPr>
                <w:color w:val="000000"/>
              </w:rPr>
            </w:pPr>
          </w:p>
          <w:p w:rsidR="00F258D9" w:rsidRDefault="00F258D9">
            <w:pPr>
              <w:pBdr>
                <w:top w:val="nil"/>
                <w:left w:val="nil"/>
                <w:bottom w:val="nil"/>
                <w:right w:val="nil"/>
                <w:between w:val="nil"/>
              </w:pBdr>
              <w:spacing w:before="60" w:after="60" w:line="240" w:lineRule="auto"/>
              <w:ind w:left="57" w:right="57"/>
              <w:rPr>
                <w:color w:val="000000"/>
              </w:rPr>
            </w:pPr>
          </w:p>
          <w:p w:rsidR="00F258D9" w:rsidRDefault="00E92BB6">
            <w:pPr>
              <w:pBdr>
                <w:top w:val="nil"/>
                <w:left w:val="nil"/>
                <w:bottom w:val="nil"/>
                <w:right w:val="nil"/>
                <w:between w:val="nil"/>
              </w:pBdr>
              <w:spacing w:before="60" w:after="60" w:line="240" w:lineRule="auto"/>
              <w:ind w:left="57" w:right="57"/>
              <w:rPr>
                <w:color w:val="000000"/>
              </w:rPr>
            </w:pPr>
            <w:hyperlink r:id="rId16">
              <w:r w:rsidR="00557D5C">
                <w:rPr>
                  <w:color w:val="0000FF"/>
                  <w:u w:val="single"/>
                </w:rPr>
                <w:t>EEF Word Aware</w:t>
              </w:r>
            </w:hyperlink>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1, 5</w:t>
            </w:r>
          </w:p>
        </w:tc>
      </w:tr>
      <w:tr w:rsidR="00F258D9">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t>High quality intervention in Reading and Maths for children making less than expected progress in KS1/ KS2 led by HLTAs (MARK intervention)</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widowControl w:val="0"/>
              <w:pBdr>
                <w:top w:val="nil"/>
                <w:left w:val="nil"/>
                <w:bottom w:val="nil"/>
                <w:right w:val="nil"/>
                <w:between w:val="nil"/>
              </w:pBdr>
              <w:spacing w:after="0" w:line="240" w:lineRule="auto"/>
            </w:pPr>
            <w:r>
              <w:t>Small group and one-to-one pre and post teaching supports children in an individualised way and provides targeted academic support</w:t>
            </w:r>
            <w:r>
              <w:rPr>
                <w:b/>
              </w:rPr>
              <w:t xml:space="preserve"> </w:t>
            </w:r>
            <w:r>
              <w:t>(EEF, 2019)</w:t>
            </w:r>
          </w:p>
          <w:p w:rsidR="00F258D9" w:rsidRDefault="00E92BB6">
            <w:pPr>
              <w:spacing w:before="60" w:after="60" w:line="240" w:lineRule="auto"/>
              <w:ind w:left="57" w:right="57"/>
              <w:rPr>
                <w:color w:val="000000"/>
              </w:rPr>
            </w:pPr>
            <w:hyperlink r:id="rId17">
              <w:r w:rsidR="00557D5C">
                <w:rPr>
                  <w:color w:val="0000FF"/>
                  <w:u w:val="single"/>
                </w:rPr>
                <w:t>EEF Interventions</w:t>
              </w:r>
            </w:hyperlink>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1, 5</w:t>
            </w:r>
          </w:p>
        </w:tc>
      </w:tr>
      <w:tr w:rsidR="00F258D9">
        <w:tc>
          <w:tcPr>
            <w:tcW w:w="3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Additional teacher and teaching assistant time directed at:</w:t>
            </w:r>
          </w:p>
          <w:p w:rsidR="00F258D9" w:rsidRDefault="00557D5C">
            <w:pPr>
              <w:numPr>
                <w:ilvl w:val="0"/>
                <w:numId w:val="4"/>
              </w:numPr>
              <w:pBdr>
                <w:top w:val="nil"/>
                <w:left w:val="nil"/>
                <w:bottom w:val="nil"/>
                <w:right w:val="nil"/>
                <w:between w:val="nil"/>
              </w:pBdr>
              <w:spacing w:before="60" w:after="60" w:line="240" w:lineRule="auto"/>
              <w:ind w:right="57"/>
            </w:pPr>
            <w:r>
              <w:lastRenderedPageBreak/>
              <w:t>individual/ group ‘keep up’ phonics</w:t>
            </w:r>
          </w:p>
          <w:p w:rsidR="00F258D9" w:rsidRDefault="00557D5C">
            <w:pPr>
              <w:numPr>
                <w:ilvl w:val="0"/>
                <w:numId w:val="4"/>
              </w:numPr>
              <w:pBdr>
                <w:top w:val="nil"/>
                <w:left w:val="nil"/>
                <w:bottom w:val="nil"/>
                <w:right w:val="nil"/>
                <w:between w:val="nil"/>
              </w:pBdr>
              <w:spacing w:before="60" w:after="60" w:line="240" w:lineRule="auto"/>
              <w:ind w:right="57"/>
            </w:pPr>
            <w:r>
              <w:t>individual or small group Maths and English booster groups with school time</w:t>
            </w:r>
          </w:p>
          <w:p w:rsidR="00F258D9" w:rsidRDefault="00557D5C">
            <w:pPr>
              <w:numPr>
                <w:ilvl w:val="0"/>
                <w:numId w:val="4"/>
              </w:numPr>
              <w:pBdr>
                <w:top w:val="nil"/>
                <w:left w:val="nil"/>
                <w:bottom w:val="nil"/>
                <w:right w:val="nil"/>
                <w:between w:val="nil"/>
              </w:pBdr>
              <w:spacing w:before="60" w:after="60" w:line="240" w:lineRule="auto"/>
              <w:ind w:right="57"/>
            </w:pPr>
            <w:r>
              <w:t>teachers reading with bottom 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widowControl w:val="0"/>
              <w:pBdr>
                <w:top w:val="nil"/>
                <w:left w:val="nil"/>
                <w:bottom w:val="nil"/>
                <w:right w:val="nil"/>
                <w:between w:val="nil"/>
              </w:pBdr>
              <w:spacing w:after="0" w:line="240" w:lineRule="auto"/>
            </w:pPr>
            <w:r>
              <w:lastRenderedPageBreak/>
              <w:t xml:space="preserve">EEF reports research that small group tuition, such as our targeted booster sessions, can have a good impact on pupil progress: </w:t>
            </w:r>
          </w:p>
          <w:p w:rsidR="00F258D9" w:rsidRDefault="00F258D9">
            <w:pPr>
              <w:widowControl w:val="0"/>
              <w:pBdr>
                <w:top w:val="nil"/>
                <w:left w:val="nil"/>
                <w:bottom w:val="nil"/>
                <w:right w:val="nil"/>
                <w:between w:val="nil"/>
              </w:pBdr>
              <w:spacing w:after="0" w:line="240" w:lineRule="auto"/>
            </w:pPr>
          </w:p>
          <w:p w:rsidR="00F258D9" w:rsidRDefault="00E92BB6">
            <w:pPr>
              <w:widowControl w:val="0"/>
              <w:pBdr>
                <w:top w:val="nil"/>
                <w:left w:val="nil"/>
                <w:bottom w:val="nil"/>
                <w:right w:val="nil"/>
                <w:between w:val="nil"/>
              </w:pBdr>
              <w:spacing w:after="0" w:line="240" w:lineRule="auto"/>
              <w:rPr>
                <w:b/>
              </w:rPr>
            </w:pPr>
            <w:hyperlink r:id="rId18">
              <w:r w:rsidR="00557D5C">
                <w:rPr>
                  <w:color w:val="0070C0"/>
                  <w:u w:val="single"/>
                </w:rPr>
                <w:t>EEF Small group tuition</w:t>
              </w:r>
            </w:hyperlink>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lastRenderedPageBreak/>
              <w:t>5, 3</w:t>
            </w:r>
          </w:p>
        </w:tc>
      </w:tr>
    </w:tbl>
    <w:p w:rsidR="00F258D9" w:rsidRDefault="00557D5C">
      <w:pPr>
        <w:spacing w:after="0"/>
        <w:rPr>
          <w:b/>
          <w:color w:val="104F75"/>
          <w:sz w:val="28"/>
          <w:szCs w:val="28"/>
        </w:rPr>
      </w:pPr>
      <w:r>
        <w:rPr>
          <w:noProof/>
        </w:rPr>
        <w:lastRenderedPageBreak/>
        <mc:AlternateContent>
          <mc:Choice Requires="wpg">
            <w:drawing>
              <wp:anchor distT="45720" distB="45720" distL="114300" distR="114300" simplePos="0" relativeHeight="251652608" behindDoc="0" locked="0" layoutInCell="1" hidden="0" allowOverlap="1">
                <wp:simplePos x="0" y="0"/>
                <wp:positionH relativeFrom="column">
                  <wp:posOffset>7010400</wp:posOffset>
                </wp:positionH>
                <wp:positionV relativeFrom="paragraph">
                  <wp:posOffset>185420</wp:posOffset>
                </wp:positionV>
                <wp:extent cx="2401570" cy="1186546"/>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149975" y="3073573"/>
                          <a:ext cx="2391900" cy="1167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58D9" w:rsidRDefault="00557D5C">
                            <w:pPr>
                              <w:spacing w:after="0"/>
                              <w:textDirection w:val="btLr"/>
                            </w:pPr>
                            <w:r>
                              <w:rPr>
                                <w:rFonts w:ascii="Arial Narrow" w:eastAsia="Arial Narrow" w:hAnsi="Arial Narrow" w:cs="Arial Narrow"/>
                              </w:rPr>
                              <w:t>£200 for incentives for attendance</w:t>
                            </w:r>
                          </w:p>
                          <w:p w:rsidR="00F258D9" w:rsidRDefault="00557D5C">
                            <w:pPr>
                              <w:spacing w:after="0"/>
                              <w:textDirection w:val="btLr"/>
                            </w:pPr>
                            <w:r>
                              <w:rPr>
                                <w:rFonts w:ascii="Arial Narrow" w:eastAsia="Arial Narrow" w:hAnsi="Arial Narrow" w:cs="Arial Narrow"/>
                              </w:rPr>
                              <w:t>£500 subsidised for homework club</w:t>
                            </w:r>
                          </w:p>
                          <w:p w:rsidR="00F258D9" w:rsidRDefault="00557D5C">
                            <w:pPr>
                              <w:spacing w:after="0"/>
                              <w:textDirection w:val="btLr"/>
                            </w:pPr>
                            <w:r>
                              <w:rPr>
                                <w:rFonts w:ascii="Arial Narrow" w:eastAsia="Arial Narrow" w:hAnsi="Arial Narrow" w:cs="Arial Narrow"/>
                              </w:rPr>
                              <w:t>£15,000 HLTA salary (50%)</w:t>
                            </w:r>
                          </w:p>
                          <w:p w:rsidR="00F258D9" w:rsidRDefault="00557D5C">
                            <w:pPr>
                              <w:spacing w:after="0"/>
                              <w:textDirection w:val="btLr"/>
                            </w:pPr>
                            <w:r>
                              <w:rPr>
                                <w:rFonts w:ascii="Arial Narrow" w:eastAsia="Arial Narrow" w:hAnsi="Arial Narrow" w:cs="Arial Narrow"/>
                              </w:rPr>
                              <w:t xml:space="preserve">£3000 for trips/ </w:t>
                            </w:r>
                            <w:proofErr w:type="spellStart"/>
                            <w:r>
                              <w:rPr>
                                <w:rFonts w:ascii="Arial Narrow" w:eastAsia="Arial Narrow" w:hAnsi="Arial Narrow" w:cs="Arial Narrow"/>
                              </w:rPr>
                              <w:t>residentials</w:t>
                            </w:r>
                            <w:proofErr w:type="spellEnd"/>
                          </w:p>
                          <w:p w:rsidR="00F258D9" w:rsidRDefault="00557D5C">
                            <w:pPr>
                              <w:spacing w:after="0"/>
                              <w:textDirection w:val="btLr"/>
                            </w:pPr>
                            <w:r>
                              <w:rPr>
                                <w:rFonts w:ascii="Arial Narrow" w:eastAsia="Arial Narrow" w:hAnsi="Arial Narrow" w:cs="Arial Narrow"/>
                              </w:rPr>
                              <w:t>£2000 subsidies for afterschool clubs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7010400</wp:posOffset>
                </wp:positionH>
                <wp:positionV relativeFrom="paragraph">
                  <wp:posOffset>185420</wp:posOffset>
                </wp:positionV>
                <wp:extent cx="2401570" cy="1186546"/>
                <wp:effectExtent b="0" l="0" r="0" t="0"/>
                <wp:wrapSquare wrapText="bothSides" distB="45720" distT="45720" distL="114300" distR="114300"/>
                <wp:docPr id="226"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401570" cy="1186546"/>
                        </a:xfrm>
                        <a:prstGeom prst="rect"/>
                        <a:ln/>
                      </pic:spPr>
                    </pic:pic>
                  </a:graphicData>
                </a:graphic>
              </wp:anchor>
            </w:drawing>
          </mc:Fallback>
        </mc:AlternateContent>
      </w:r>
    </w:p>
    <w:p w:rsidR="00F258D9" w:rsidRDefault="00557D5C">
      <w:pPr>
        <w:rPr>
          <w:b/>
          <w:color w:val="104F75"/>
          <w:sz w:val="28"/>
          <w:szCs w:val="28"/>
        </w:rPr>
      </w:pPr>
      <w:r>
        <w:rPr>
          <w:b/>
          <w:color w:val="104F75"/>
          <w:sz w:val="28"/>
          <w:szCs w:val="28"/>
        </w:rPr>
        <w:t>Wider strategies (for example, related to attendance, behaviour, wellbeing)</w:t>
      </w:r>
    </w:p>
    <w:p w:rsidR="00F258D9" w:rsidRDefault="00557D5C">
      <w:pPr>
        <w:spacing w:before="240" w:after="120"/>
      </w:pPr>
      <w:r>
        <w:t>Budgeted cost: £ 21,700</w:t>
      </w:r>
    </w:p>
    <w:p w:rsidR="00F258D9" w:rsidRDefault="00F258D9">
      <w:pPr>
        <w:spacing w:after="0"/>
      </w:pPr>
    </w:p>
    <w:tbl>
      <w:tblPr>
        <w:tblStyle w:val="af2"/>
        <w:tblW w:w="14560" w:type="dxa"/>
        <w:tblLayout w:type="fixed"/>
        <w:tblLook w:val="0400" w:firstRow="0" w:lastRow="0" w:firstColumn="0" w:lastColumn="0" w:noHBand="0" w:noVBand="1"/>
      </w:tblPr>
      <w:tblGrid>
        <w:gridCol w:w="4126"/>
        <w:gridCol w:w="6529"/>
        <w:gridCol w:w="3905"/>
      </w:tblGrid>
      <w:tr w:rsidR="00F258D9">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rPr>
                <w:b/>
              </w:rPr>
              <w:t>Challenge number(s) addressed</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 xml:space="preserve">Improve the </w:t>
            </w:r>
            <w:r>
              <w:rPr>
                <w:b/>
                <w:color w:val="000000"/>
              </w:rPr>
              <w:t>attendance</w:t>
            </w:r>
            <w:r>
              <w:rPr>
                <w:color w:val="000000"/>
              </w:rPr>
              <w:t xml:space="preserve"> of PP pupil’s through rewards and communication with parents. </w:t>
            </w:r>
          </w:p>
          <w:p w:rsidR="00F258D9" w:rsidRDefault="00557D5C">
            <w:pPr>
              <w:pBdr>
                <w:top w:val="nil"/>
                <w:left w:val="nil"/>
                <w:bottom w:val="nil"/>
                <w:right w:val="nil"/>
                <w:between w:val="nil"/>
              </w:pBdr>
              <w:spacing w:before="60" w:after="60" w:line="240" w:lineRule="auto"/>
              <w:ind w:left="57" w:right="57"/>
            </w:pPr>
            <w:r>
              <w:rPr>
                <w:color w:val="000000"/>
              </w:rPr>
              <w:t>This includes invitations to attend breakfast club and SLT time.</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color w:val="000000"/>
              </w:rPr>
            </w:pPr>
            <w:r>
              <w:rPr>
                <w:color w:val="000000"/>
              </w:rPr>
              <w:t xml:space="preserve">The </w:t>
            </w:r>
            <w:proofErr w:type="spellStart"/>
            <w:r>
              <w:rPr>
                <w:color w:val="000000"/>
              </w:rPr>
              <w:t>DfE</w:t>
            </w:r>
            <w:proofErr w:type="spellEnd"/>
            <w:r>
              <w:rPr>
                <w:color w:val="000000"/>
              </w:rPr>
              <w:t xml:space="preserve"> guidance has been informed. Rewards and incentives are highlighted as well as communication with parents. </w:t>
            </w:r>
          </w:p>
          <w:p w:rsidR="00F258D9" w:rsidRDefault="00E92BB6">
            <w:pPr>
              <w:pBdr>
                <w:top w:val="nil"/>
                <w:left w:val="nil"/>
                <w:bottom w:val="nil"/>
                <w:right w:val="nil"/>
                <w:between w:val="nil"/>
              </w:pBdr>
              <w:spacing w:before="60" w:after="60" w:line="240" w:lineRule="auto"/>
              <w:ind w:left="57" w:right="57"/>
              <w:rPr>
                <w:sz w:val="22"/>
                <w:szCs w:val="22"/>
              </w:rPr>
            </w:pPr>
            <w:hyperlink r:id="rId25">
              <w:proofErr w:type="spellStart"/>
              <w:r w:rsidR="00557D5C">
                <w:rPr>
                  <w:color w:val="0070C0"/>
                  <w:u w:val="single"/>
                </w:rPr>
                <w:t>DfE</w:t>
              </w:r>
              <w:proofErr w:type="spellEnd"/>
              <w:r w:rsidR="00557D5C">
                <w:rPr>
                  <w:color w:val="0070C0"/>
                  <w:u w:val="single"/>
                </w:rPr>
                <w:t xml:space="preserve"> Improving School Attendance</w:t>
              </w:r>
            </w:hyperlink>
            <w:r w:rsidR="00557D5C">
              <w:rPr>
                <w:color w:val="000000"/>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sz w:val="22"/>
                <w:szCs w:val="22"/>
              </w:rPr>
            </w:pPr>
            <w:r>
              <w:rPr>
                <w:sz w:val="22"/>
                <w:szCs w:val="22"/>
              </w:rPr>
              <w:t>4</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 xml:space="preserve">Support full participation of disadvantaged pupil in </w:t>
            </w:r>
            <w:r>
              <w:rPr>
                <w:b/>
              </w:rPr>
              <w:t xml:space="preserve">extracurricular and enrichment activities </w:t>
            </w:r>
            <w:r>
              <w:t>through financial contribution. This includes all clubs.</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proofErr w:type="spellStart"/>
            <w:r>
              <w:t>DfE</w:t>
            </w:r>
            <w:proofErr w:type="spellEnd"/>
            <w:r>
              <w:t xml:space="preserve"> Wellbeing for Education Recovery documents report the importance of a range of activates to promote emotional well-being:</w:t>
            </w:r>
          </w:p>
          <w:p w:rsidR="00F258D9" w:rsidRDefault="00E92BB6">
            <w:pPr>
              <w:pBdr>
                <w:top w:val="nil"/>
                <w:left w:val="nil"/>
                <w:bottom w:val="nil"/>
                <w:right w:val="nil"/>
                <w:between w:val="nil"/>
              </w:pBdr>
              <w:spacing w:before="60" w:after="60" w:line="240" w:lineRule="auto"/>
              <w:ind w:left="57" w:right="57"/>
            </w:pPr>
            <w:hyperlink r:id="rId26" w:anchor="wellbeing-for-education-recovery">
              <w:proofErr w:type="spellStart"/>
              <w:r w:rsidR="00557D5C">
                <w:rPr>
                  <w:color w:val="0000FF"/>
                  <w:u w:val="single"/>
                </w:rPr>
                <w:t>DfE</w:t>
              </w:r>
              <w:proofErr w:type="spellEnd"/>
              <w:r w:rsidR="00557D5C">
                <w:rPr>
                  <w:color w:val="0000FF"/>
                  <w:u w:val="single"/>
                </w:rPr>
                <w:t xml:space="preserve"> Supporting Educational Well-Being</w:t>
              </w:r>
            </w:hyperlink>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4, 2</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rPr>
                <w:b/>
              </w:rPr>
              <w:t>Pastoral support worker</w:t>
            </w:r>
            <w:r>
              <w:t xml:space="preserve"> to work with vulnerable pupils and their families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 xml:space="preserve">National referrals to support mental health concerns in children are up 134%. Pastoral care in schools is essential in identifying families in need of support. </w:t>
            </w:r>
          </w:p>
          <w:p w:rsidR="00F258D9" w:rsidRDefault="00E92BB6">
            <w:pPr>
              <w:pBdr>
                <w:top w:val="nil"/>
                <w:left w:val="nil"/>
                <w:bottom w:val="nil"/>
                <w:right w:val="nil"/>
                <w:between w:val="nil"/>
              </w:pBdr>
              <w:spacing w:before="60" w:after="60" w:line="240" w:lineRule="auto"/>
              <w:ind w:left="57" w:right="57"/>
            </w:pPr>
            <w:hyperlink r:id="rId27" w:anchor="wellbeing-for-education-recovery">
              <w:proofErr w:type="spellStart"/>
              <w:r w:rsidR="00557D5C">
                <w:rPr>
                  <w:color w:val="0000FF"/>
                  <w:u w:val="single"/>
                </w:rPr>
                <w:t>DfE</w:t>
              </w:r>
              <w:proofErr w:type="spellEnd"/>
              <w:r w:rsidR="00557D5C">
                <w:rPr>
                  <w:color w:val="0000FF"/>
                  <w:u w:val="single"/>
                </w:rPr>
                <w:t xml:space="preserve"> Supporting Educational Well-Being</w:t>
              </w:r>
            </w:hyperlink>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lastRenderedPageBreak/>
              <w:t>3</w:t>
            </w:r>
          </w:p>
        </w:tc>
      </w:tr>
      <w:tr w:rsidR="00F258D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rPr>
                <w:b/>
              </w:rPr>
            </w:pPr>
            <w:r>
              <w:lastRenderedPageBreak/>
              <w:t xml:space="preserve">Support full participation of disadvantaged pupils in </w:t>
            </w:r>
            <w:r>
              <w:rPr>
                <w:b/>
              </w:rPr>
              <w:t>school trips and residential</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The EEF shows that adventure learning has positive benefits on academic learning. They suggest that pupils who participate in adventure learning interventions make approximately four additional months</w:t>
            </w:r>
          </w:p>
          <w:p w:rsidR="00F258D9" w:rsidRDefault="00557D5C">
            <w:pPr>
              <w:pBdr>
                <w:top w:val="nil"/>
                <w:left w:val="nil"/>
                <w:bottom w:val="nil"/>
                <w:right w:val="nil"/>
                <w:between w:val="nil"/>
              </w:pBdr>
              <w:spacing w:before="60" w:after="60" w:line="240" w:lineRule="auto"/>
              <w:ind w:left="57" w:right="57"/>
            </w:pPr>
            <w:r>
              <w:t xml:space="preserve"> </w:t>
            </w:r>
            <w:hyperlink r:id="rId28">
              <w:r>
                <w:rPr>
                  <w:color w:val="0000FF"/>
                  <w:u w:val="single"/>
                </w:rPr>
                <w:t>EEF Adventure Learning</w:t>
              </w:r>
            </w:hyperlink>
            <w:r>
              <w:t xml:space="preserve">. </w:t>
            </w:r>
          </w:p>
          <w:p w:rsidR="00F258D9" w:rsidRDefault="00557D5C">
            <w:pPr>
              <w:pBdr>
                <w:top w:val="nil"/>
                <w:left w:val="nil"/>
                <w:bottom w:val="nil"/>
                <w:right w:val="nil"/>
                <w:between w:val="nil"/>
              </w:pBdr>
              <w:spacing w:before="60" w:after="60" w:line="240" w:lineRule="auto"/>
              <w:ind w:left="57" w:right="57"/>
            </w:pPr>
            <w:r>
              <w:t xml:space="preserve">Ofsted acknowledge that many disadvantaged pupils do not have access to cultural capital at home and highlight its importance to succeed in life. </w:t>
            </w:r>
          </w:p>
          <w:p w:rsidR="00F258D9" w:rsidRDefault="00E92BB6">
            <w:pPr>
              <w:pBdr>
                <w:top w:val="nil"/>
                <w:left w:val="nil"/>
                <w:bottom w:val="nil"/>
                <w:right w:val="nil"/>
                <w:between w:val="nil"/>
              </w:pBdr>
              <w:spacing w:before="60" w:after="60" w:line="240" w:lineRule="auto"/>
              <w:ind w:left="57" w:right="57"/>
            </w:pPr>
            <w:hyperlink r:id="rId29">
              <w:r w:rsidR="00557D5C">
                <w:rPr>
                  <w:color w:val="0000FF"/>
                  <w:u w:val="single"/>
                </w:rPr>
                <w:t>Ofsted 2019 Cultural Capital</w:t>
              </w:r>
            </w:hyperlink>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58D9" w:rsidRDefault="00557D5C">
            <w:pPr>
              <w:pBdr>
                <w:top w:val="nil"/>
                <w:left w:val="nil"/>
                <w:bottom w:val="nil"/>
                <w:right w:val="nil"/>
                <w:between w:val="nil"/>
              </w:pBdr>
              <w:spacing w:before="60" w:after="60" w:line="240" w:lineRule="auto"/>
              <w:ind w:left="57" w:right="57"/>
            </w:pPr>
            <w:r>
              <w:t>2</w:t>
            </w:r>
          </w:p>
        </w:tc>
      </w:tr>
    </w:tbl>
    <w:p w:rsidR="00F258D9" w:rsidRDefault="00F258D9">
      <w:pPr>
        <w:spacing w:before="240" w:after="0"/>
        <w:rPr>
          <w:b/>
          <w:color w:val="104F75"/>
          <w:sz w:val="28"/>
          <w:szCs w:val="28"/>
        </w:rPr>
      </w:pPr>
    </w:p>
    <w:p w:rsidR="00F258D9" w:rsidRDefault="00557D5C">
      <w:r>
        <w:rPr>
          <w:b/>
          <w:color w:val="104F75"/>
          <w:sz w:val="28"/>
          <w:szCs w:val="28"/>
        </w:rPr>
        <w:t xml:space="preserve">Total budgeted cost: </w:t>
      </w:r>
      <w:r>
        <w:t>£</w:t>
      </w:r>
      <w:r>
        <w:rPr>
          <w:rFonts w:ascii="Calibri" w:eastAsia="Calibri" w:hAnsi="Calibri" w:cs="Calibri"/>
          <w:color w:val="000000"/>
          <w:highlight w:val="white"/>
        </w:rPr>
        <w:t>134,300</w:t>
      </w:r>
    </w:p>
    <w:p w:rsidR="00F258D9" w:rsidRDefault="00557D5C">
      <w:pPr>
        <w:pStyle w:val="Heading1"/>
      </w:pPr>
      <w:r>
        <w:lastRenderedPageBreak/>
        <w:t>Part B: Review of outcomes in the previous academic year</w:t>
      </w:r>
    </w:p>
    <w:p w:rsidR="00F258D9" w:rsidRDefault="00557D5C">
      <w:pPr>
        <w:pStyle w:val="Heading2"/>
      </w:pPr>
      <w:r>
        <w:t>Pupil premium strategy outcomes</w:t>
      </w:r>
    </w:p>
    <w:p w:rsidR="00F258D9" w:rsidRDefault="00557D5C">
      <w:r>
        <w:t>This details the impact that our pupil premium ac</w:t>
      </w:r>
      <w:r w:rsidR="006E180F">
        <w:t>tivity had on pupils in the 2021</w:t>
      </w:r>
      <w:r>
        <w:t xml:space="preserve"> to 202</w:t>
      </w:r>
      <w:r w:rsidR="006E180F">
        <w:t>2</w:t>
      </w:r>
      <w:bookmarkStart w:id="4" w:name="_GoBack"/>
      <w:bookmarkEnd w:id="4"/>
      <w:r>
        <w:t xml:space="preserve"> academic year. </w:t>
      </w:r>
    </w:p>
    <w:p w:rsidR="00F258D9" w:rsidRDefault="00557D5C">
      <w:pPr>
        <w:rPr>
          <w:u w:val="single"/>
        </w:rPr>
      </w:pPr>
      <w:r>
        <w:rPr>
          <w:u w:val="single"/>
        </w:rPr>
        <w:t>Reading</w:t>
      </w:r>
      <w:r w:rsidR="00E92BB6">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7pt;margin-top:17.3pt;width:554.95pt;height:179.65pt;z-index:251663872;mso-position-horizontal:absolute;mso-position-horizontal-relative:margin;mso-position-vertical:absolute;mso-position-vertical-relative:text;mso-width-relative:page;mso-height-relative:page" wrapcoords="-22 0 -22 21531 21600 21531 21600 0 -22 0">
            <v:imagedata r:id="rId30" o:title=""/>
            <w10:wrap type="tight" anchorx="margin"/>
          </v:shape>
          <o:OLEObject Type="Embed" ProgID="PBrush" ShapeID="_x0000_s1038" DrawAspect="Content" ObjectID="_1730026704" r:id="rId31"/>
        </w:object>
      </w:r>
    </w:p>
    <w:p w:rsidR="00F258D9" w:rsidRDefault="00F258D9"/>
    <w:p w:rsidR="00F258D9" w:rsidRDefault="00557D5C">
      <w:r>
        <w:rPr>
          <w:noProof/>
        </w:rPr>
        <mc:AlternateContent>
          <mc:Choice Requires="wps">
            <w:drawing>
              <wp:anchor distT="45720" distB="45720" distL="114300" distR="114300" simplePos="0" relativeHeight="251653632" behindDoc="0" locked="0" layoutInCell="1" hidden="0" allowOverlap="1">
                <wp:simplePos x="0" y="0"/>
                <wp:positionH relativeFrom="column">
                  <wp:posOffset>7556500</wp:posOffset>
                </wp:positionH>
                <wp:positionV relativeFrom="paragraph">
                  <wp:posOffset>287020</wp:posOffset>
                </wp:positionV>
                <wp:extent cx="1687195" cy="2479040"/>
                <wp:effectExtent l="0" t="0" r="0" b="0"/>
                <wp:wrapSquare wrapText="bothSides" distT="45720" distB="45720" distL="114300" distR="114300"/>
                <wp:docPr id="227" name="Rectangle 227"/>
                <wp:cNvGraphicFramePr/>
                <a:graphic xmlns:a="http://schemas.openxmlformats.org/drawingml/2006/main">
                  <a:graphicData uri="http://schemas.microsoft.com/office/word/2010/wordprocessingShape">
                    <wps:wsp>
                      <wps:cNvSpPr/>
                      <wps:spPr>
                        <a:xfrm>
                          <a:off x="4507165" y="2545243"/>
                          <a:ext cx="1677670" cy="24695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58D9" w:rsidRDefault="00557D5C">
                            <w:pPr>
                              <w:ind w:left="720"/>
                              <w:textDirection w:val="btLr"/>
                            </w:pPr>
                            <w:r>
                              <w:t>What does this tell us?</w:t>
                            </w:r>
                          </w:p>
                          <w:p w:rsidR="00F258D9" w:rsidRPr="00041408" w:rsidRDefault="00557D5C" w:rsidP="00041408">
                            <w:pPr>
                              <w:spacing w:after="0" w:line="240" w:lineRule="auto"/>
                              <w:ind w:left="720"/>
                              <w:textDirection w:val="btLr"/>
                              <w:rPr>
                                <w:sz w:val="22"/>
                              </w:rPr>
                            </w:pPr>
                            <w:r w:rsidRPr="00041408">
                              <w:rPr>
                                <w:color w:val="000000"/>
                              </w:rPr>
                              <w:t>There is no significant difference in the attainment in Reading from Y1- Y6 due to PP funding</w:t>
                            </w:r>
                          </w:p>
                          <w:p w:rsidR="00F258D9" w:rsidRDefault="00F258D9">
                            <w:pPr>
                              <w:ind w:left="720"/>
                              <w:textDirection w:val="btLr"/>
                            </w:pPr>
                          </w:p>
                        </w:txbxContent>
                      </wps:txbx>
                      <wps:bodyPr spcFirstLastPara="1" wrap="square" lIns="91425" tIns="45700" rIns="91425" bIns="45700" anchor="t" anchorCtr="0">
                        <a:noAutofit/>
                      </wps:bodyPr>
                    </wps:wsp>
                  </a:graphicData>
                </a:graphic>
              </wp:anchor>
            </w:drawing>
          </mc:Choice>
          <mc:Fallback>
            <w:pict>
              <v:rect id="Rectangle 227" o:spid="_x0000_s1029" style="position:absolute;margin-left:595pt;margin-top:22.6pt;width:132.85pt;height:195.2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2OwIAAH0EAAAOAAAAZHJzL2Uyb0RvYy54bWysVNuO0zAQfUfiHyy/0yQlabdR0xXaUoS0&#10;goqFD5g6TmLJN2xvL3/P2CltF5CQEHlwxvbkzJkzM1neH5Uke+68MLqhxSSnhGtmWqH7hn77unlz&#10;R4kPoFuQRvOGnrin96vXr5YHW/OpGYxsuSMIon19sA0dQrB1lnk2cAV+YizXeNkZpyDg1vVZ6+CA&#10;6Epm0zyfZQfjWusM497j6Xq8pKuE33Wchc9d53kgsqHILaTVpXUX12y1hLp3YAfBzjTgH1goEBqD&#10;XqDWEIA8O/EblBLMGW+6MGFGZabrBOMpB8ymyH/J5mkAy1MuKI63F5n8/4Nln/ZbR0Tb0Ol0TokG&#10;hUX6grKB7iUn8RAlOlhfo+eT3brzzqMZ8z12TsU3ZkKODS2rfF7MKkpOCFiV1bR8O0rMj4EwdChm&#10;8/lsjpVg0aOcLaqiih7ZFco6Hz5wo0g0GuqQTJIW9o8+jK4/XWJkb6RoN0LKtHH97kE6sges9yY9&#10;Z/QXblKTQ0MX1RSZMsC26yQENJVFIbzuU7wXX/hb4Dw9fwKOxNbgh5FAQhjzVyJgn0uhGnp3+Rrq&#10;gUP7XrcknCzqrnFEaGTmFSWS40ChgRlDHUDIv/uhiFKjlrFcY4GiFY67Y6pwEjqe7Ex7wqp7yzYC&#10;CT+CD1tw2PcFRsdZwLjfn8EhF/lRY7MtijIqFdKmrOY51s/d3uxub0CzweCIoaCj+RDSwMU8tHn3&#10;HEwnUh2vVM6cscdTJ5znMQ7R7T55Xf8aqx8AAAD//wMAUEsDBBQABgAIAAAAIQDMHPUq3wAAAAwB&#10;AAAPAAAAZHJzL2Rvd25yZXYueG1sTI/NTsMwEITvSLyDtUhcEHX6kxZCnAoicQSJlAdw4yWJsNdR&#10;7Pzw9mxPcJzZ0ew3+XFxVkw4hM6TgvUqAYFUe9NRo+Dz9Hr/ACJETUZbT6jgBwMci+urXGfGz/SB&#10;UxUbwSUUMq2gjbHPpAx1i06Hle+R+PblB6cjy6GRZtAzlzsrN0myl053xB9a3WPZYv1djU7BKWy7&#10;Em11CNNUvb2U452b9btStzfL8xOIiEv8C8MFn9GhYKazH8kEYVmvHxMeExXs0g2IS2KXpgcQZ3a2&#10;6R5kkcv/I4pfAAAA//8DAFBLAQItABQABgAIAAAAIQC2gziS/gAAAOEBAAATAAAAAAAAAAAAAAAA&#10;AAAAAABbQ29udGVudF9UeXBlc10ueG1sUEsBAi0AFAAGAAgAAAAhADj9If/WAAAAlAEAAAsAAAAA&#10;AAAAAAAAAAAALwEAAF9yZWxzLy5yZWxzUEsBAi0AFAAGAAgAAAAhABINL7Y7AgAAfQQAAA4AAAAA&#10;AAAAAAAAAAAALgIAAGRycy9lMm9Eb2MueG1sUEsBAi0AFAAGAAgAAAAhAMwc9SrfAAAADAEAAA8A&#10;AAAAAAAAAAAAAAAAlQQAAGRycy9kb3ducmV2LnhtbFBLBQYAAAAABAAEAPMAAAChBQAAAAA=&#10;">
                <v:stroke startarrowwidth="narrow" startarrowlength="short" endarrowwidth="narrow" endarrowlength="short"/>
                <v:textbox inset="2.53958mm,1.2694mm,2.53958mm,1.2694mm">
                  <w:txbxContent>
                    <w:p w:rsidR="00F258D9" w:rsidRDefault="00557D5C">
                      <w:pPr>
                        <w:ind w:left="720"/>
                        <w:textDirection w:val="btLr"/>
                      </w:pPr>
                      <w:r>
                        <w:t>What does this tell us?</w:t>
                      </w:r>
                    </w:p>
                    <w:p w:rsidR="00F258D9" w:rsidRPr="00041408" w:rsidRDefault="00557D5C" w:rsidP="00041408">
                      <w:pPr>
                        <w:spacing w:after="0" w:line="240" w:lineRule="auto"/>
                        <w:ind w:left="720"/>
                        <w:textDirection w:val="btLr"/>
                        <w:rPr>
                          <w:sz w:val="22"/>
                        </w:rPr>
                      </w:pPr>
                      <w:r w:rsidRPr="00041408">
                        <w:rPr>
                          <w:color w:val="000000"/>
                        </w:rPr>
                        <w:t>There is no significant difference in the attainment in Reading from Y1- Y6 due to PP funding</w:t>
                      </w:r>
                    </w:p>
                    <w:p w:rsidR="00F258D9" w:rsidRDefault="00F258D9">
                      <w:pPr>
                        <w:ind w:left="720"/>
                        <w:textDirection w:val="btLr"/>
                      </w:pPr>
                    </w:p>
                  </w:txbxContent>
                </v:textbox>
                <w10:wrap type="square"/>
              </v:rect>
            </w:pict>
          </mc:Fallback>
        </mc:AlternateContent>
      </w:r>
    </w:p>
    <w:p w:rsidR="00F258D9" w:rsidRDefault="00F258D9"/>
    <w:p w:rsidR="00F258D9" w:rsidRDefault="00F258D9"/>
    <w:p w:rsidR="00F258D9" w:rsidRDefault="00F258D9"/>
    <w:p w:rsidR="00F258D9" w:rsidRDefault="00E92BB6">
      <w:r>
        <w:object w:dxaOrig="1440" w:dyaOrig="1440">
          <v:shape id="_x0000_s1039" type="#_x0000_t75" style="position:absolute;margin-left:.7pt;margin-top:37.5pt;width:553.1pt;height:162.05pt;z-index:251664896;mso-position-horizontal:absolute;mso-position-horizontal-relative:margin;mso-position-vertical:absolute;mso-position-vertical-relative:text;mso-width-relative:page;mso-height-relative:page" wrapcoords="-20 0 -20 21537 21600 21537 21600 0 -20 0">
            <v:imagedata r:id="rId32" o:title=""/>
            <w10:wrap type="tight" anchorx="margin"/>
          </v:shape>
          <o:OLEObject Type="Embed" ProgID="PBrush" ShapeID="_x0000_s1039" DrawAspect="Content" ObjectID="_1730026705" r:id="rId33"/>
        </w:object>
      </w:r>
    </w:p>
    <w:p w:rsidR="00F258D9" w:rsidRDefault="00F258D9"/>
    <w:p w:rsidR="00F258D9" w:rsidRDefault="00F258D9"/>
    <w:p w:rsidR="00F258D9" w:rsidRDefault="00F258D9"/>
    <w:p w:rsidR="00F258D9" w:rsidRDefault="00F258D9"/>
    <w:p w:rsidR="00F258D9" w:rsidRDefault="00F258D9"/>
    <w:p w:rsidR="00F258D9" w:rsidRDefault="00F258D9"/>
    <w:p w:rsidR="00F258D9" w:rsidRDefault="00557D5C">
      <w:pPr>
        <w:rPr>
          <w:u w:val="single"/>
        </w:rPr>
      </w:pPr>
      <w:r>
        <w:rPr>
          <w:u w:val="single"/>
        </w:rPr>
        <w:lastRenderedPageBreak/>
        <w:t>Writing</w:t>
      </w:r>
    </w:p>
    <w:p w:rsidR="00F258D9" w:rsidRDefault="00557D5C">
      <w:pPr>
        <w:rPr>
          <w:u w:val="single"/>
        </w:rPr>
      </w:pPr>
      <w:r>
        <w:rPr>
          <w:noProof/>
        </w:rPr>
        <w:drawing>
          <wp:anchor distT="0" distB="0" distL="114300" distR="114300" simplePos="0" relativeHeight="251654656" behindDoc="0" locked="0" layoutInCell="1" hidden="0" allowOverlap="1">
            <wp:simplePos x="0" y="0"/>
            <wp:positionH relativeFrom="column">
              <wp:posOffset>1</wp:posOffset>
            </wp:positionH>
            <wp:positionV relativeFrom="paragraph">
              <wp:posOffset>365760</wp:posOffset>
            </wp:positionV>
            <wp:extent cx="7143750" cy="2256155"/>
            <wp:effectExtent l="0" t="0" r="0" b="0"/>
            <wp:wrapSquare wrapText="bothSides" distT="0" distB="0" distL="114300" distR="114300"/>
            <wp:docPr id="22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7143750" cy="2256155"/>
                    </a:xfrm>
                    <a:prstGeom prst="rect">
                      <a:avLst/>
                    </a:prstGeom>
                    <a:ln/>
                  </pic:spPr>
                </pic:pic>
              </a:graphicData>
            </a:graphic>
          </wp:anchor>
        </w:drawing>
      </w:r>
    </w:p>
    <w:p w:rsidR="00F258D9" w:rsidRDefault="00F258D9">
      <w:pPr>
        <w:rPr>
          <w:u w:val="single"/>
        </w:rPr>
      </w:pPr>
    </w:p>
    <w:p w:rsidR="00F258D9" w:rsidRDefault="00F258D9">
      <w:pPr>
        <w:rPr>
          <w:u w:val="single"/>
        </w:rPr>
      </w:pPr>
    </w:p>
    <w:p w:rsidR="00F258D9" w:rsidRDefault="00557D5C">
      <w:pPr>
        <w:rPr>
          <w:u w:val="single"/>
        </w:rPr>
      </w:pPr>
      <w:r>
        <w:rPr>
          <w:noProof/>
        </w:rPr>
        <mc:AlternateContent>
          <mc:Choice Requires="wps">
            <w:drawing>
              <wp:anchor distT="45720" distB="45720" distL="114300" distR="114300" simplePos="0" relativeHeight="251655680" behindDoc="0" locked="0" layoutInCell="1" hidden="0" allowOverlap="1">
                <wp:simplePos x="0" y="0"/>
                <wp:positionH relativeFrom="column">
                  <wp:posOffset>7708900</wp:posOffset>
                </wp:positionH>
                <wp:positionV relativeFrom="paragraph">
                  <wp:posOffset>45720</wp:posOffset>
                </wp:positionV>
                <wp:extent cx="1769110" cy="244792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4466208" y="2560800"/>
                          <a:ext cx="1759585" cy="2438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58D9" w:rsidRDefault="00557D5C">
                            <w:pPr>
                              <w:ind w:left="720"/>
                              <w:textDirection w:val="btLr"/>
                            </w:pPr>
                            <w:r>
                              <w:t>What does this tell us?</w:t>
                            </w:r>
                          </w:p>
                          <w:p w:rsidR="00F258D9" w:rsidRPr="00041408" w:rsidRDefault="00557D5C" w:rsidP="00041408">
                            <w:pPr>
                              <w:spacing w:after="0" w:line="240" w:lineRule="auto"/>
                              <w:ind w:left="720"/>
                              <w:textDirection w:val="btLr"/>
                              <w:rPr>
                                <w:sz w:val="22"/>
                              </w:rPr>
                            </w:pPr>
                            <w:r w:rsidRPr="00041408">
                              <w:rPr>
                                <w:color w:val="000000"/>
                              </w:rPr>
                              <w:t>There is no significant difference in the attainment in Writing from Y1- Y6 due to PP funding</w:t>
                            </w:r>
                          </w:p>
                          <w:p w:rsidR="00F258D9" w:rsidRDefault="00F258D9">
                            <w:pPr>
                              <w:ind w:left="720"/>
                              <w:textDirection w:val="btLr"/>
                            </w:pPr>
                          </w:p>
                        </w:txbxContent>
                      </wps:txbx>
                      <wps:bodyPr spcFirstLastPara="1" wrap="square" lIns="91425" tIns="45700" rIns="91425" bIns="45700" anchor="t" anchorCtr="0">
                        <a:noAutofit/>
                      </wps:bodyPr>
                    </wps:wsp>
                  </a:graphicData>
                </a:graphic>
              </wp:anchor>
            </w:drawing>
          </mc:Choice>
          <mc:Fallback>
            <w:pict>
              <v:rect id="Rectangle 223" o:spid="_x0000_s1030" style="position:absolute;margin-left:607pt;margin-top:3.6pt;width:139.3pt;height:192.75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5kPPAIAAH0EAAAOAAAAZHJzL2Uyb0RvYy54bWysVNuO0zAQfUfiHyy/06TZpNtGTVdoSxHS&#10;iq1Y+ICp4ySWfMP2Nu3fM3bLtgtISAg/OGN7fObMGU+WdwclyZ47L4xu6HSSU8I1M63QfUO/fd28&#10;m1PiA+gWpNG8oUfu6d3q7ZvlaGtemMHIljuCINrXo23oEIKts8yzgSvwE2O5xsPOOAUBl67PWgcj&#10;oiuZFXk+y0bjWusM497j7vp0SFcJv+s4C49d53kgsqHILaTZpXkX52y1hLp3YAfBzjTgH1goEBqD&#10;vkCtIQB5duI3KCWYM950YcKMykzXCcZTDpjNNP8lm6cBLE+5oDjevsjk/x8s+7zfOiLahhbFDSUa&#10;FBbpC8oGupecxE2UaLS+Rs8nu3XnlUcz5nvonIpfzIQcGlqWs1mRY82PCFjN8nl+lpgfAmHoML2t&#10;FtW8ooRFj/JmXp48sguUdT585EaRaDTUIZkkLewffMDw6PrTJUb2Rop2I6RMC9fv7qUje8B6b9KI&#10;/PHKKzepydjQRVVEIoDPrpMQ0FQWhfC6T/Fe3fDXwHkafwKOxNbghxOBhBDdoFYi4DuXQjUUNcFx&#10;2h44tB90S8LRou4aW4RGZl5RIjk2FBrpegAh/+6HaUqN2cZynQoUrXDYHVKFZxEr7uxMe8Sqe8s2&#10;Agk/gA9bcPjupxgdewHjfn8Gh1zkJ42PbTEto1IhLcrqFtkTd32yuz4BzQaDLYaCnsz7kBouyqDN&#10;++dgOpHqeKFy5oxvPNXq3I+xia7Xyevy11j9AAAA//8DAFBLAwQUAAYACAAAACEA22xwuN4AAAAL&#10;AQAADwAAAGRycy9kb3ducmV2LnhtbEyPy07DMBRE90j8g3WR2CDq1K0amsapIBJLkJryAbfxJYnq&#10;RxQ7D/4edwXL0YxmzuTHxWg20eA7ZyWsVwkwsrVTnW0kfJ3fn1+A+YBWoXaWJPyQh2Nxf5djptxs&#10;TzRVoWGxxPoMJbQh9Bnnvm7JoF+5nmz0vt1gMEQ5NFwNOMdyo7lIkh032Nm40GJPZUv1tRqNhLPf&#10;dCXpKvXTVH28leOTmfFTyseH5fUALNAS/sJww4/oUESmixut8kxHLdbbeCZISAWwW2C7FztgFwmb&#10;vUiBFzn//6H4BQAA//8DAFBLAQItABQABgAIAAAAIQC2gziS/gAAAOEBAAATAAAAAAAAAAAAAAAA&#10;AAAAAABbQ29udGVudF9UeXBlc10ueG1sUEsBAi0AFAAGAAgAAAAhADj9If/WAAAAlAEAAAsAAAAA&#10;AAAAAAAAAAAALwEAAF9yZWxzLy5yZWxzUEsBAi0AFAAGAAgAAAAhAPvfmQ88AgAAfQQAAA4AAAAA&#10;AAAAAAAAAAAALgIAAGRycy9lMm9Eb2MueG1sUEsBAi0AFAAGAAgAAAAhANtscLjeAAAACwEAAA8A&#10;AAAAAAAAAAAAAAAAlgQAAGRycy9kb3ducmV2LnhtbFBLBQYAAAAABAAEAPMAAAChBQAAAAA=&#10;">
                <v:stroke startarrowwidth="narrow" startarrowlength="short" endarrowwidth="narrow" endarrowlength="short"/>
                <v:textbox inset="2.53958mm,1.2694mm,2.53958mm,1.2694mm">
                  <w:txbxContent>
                    <w:p w:rsidR="00F258D9" w:rsidRDefault="00557D5C">
                      <w:pPr>
                        <w:ind w:left="720"/>
                        <w:textDirection w:val="btLr"/>
                      </w:pPr>
                      <w:r>
                        <w:t>What does this tell us?</w:t>
                      </w:r>
                    </w:p>
                    <w:p w:rsidR="00F258D9" w:rsidRPr="00041408" w:rsidRDefault="00557D5C" w:rsidP="00041408">
                      <w:pPr>
                        <w:spacing w:after="0" w:line="240" w:lineRule="auto"/>
                        <w:ind w:left="720"/>
                        <w:textDirection w:val="btLr"/>
                        <w:rPr>
                          <w:sz w:val="22"/>
                        </w:rPr>
                      </w:pPr>
                      <w:r w:rsidRPr="00041408">
                        <w:rPr>
                          <w:color w:val="000000"/>
                        </w:rPr>
                        <w:t>There is no significant difference in the attainment in Writing from Y1- Y6 due to PP funding</w:t>
                      </w:r>
                    </w:p>
                    <w:p w:rsidR="00F258D9" w:rsidRDefault="00F258D9">
                      <w:pPr>
                        <w:ind w:left="720"/>
                        <w:textDirection w:val="btLr"/>
                      </w:pPr>
                    </w:p>
                  </w:txbxContent>
                </v:textbox>
                <w10:wrap type="square"/>
              </v:rect>
            </w:pict>
          </mc:Fallback>
        </mc:AlternateContent>
      </w:r>
    </w:p>
    <w:p w:rsidR="00F258D9" w:rsidRDefault="00F258D9">
      <w:pPr>
        <w:rPr>
          <w:u w:val="single"/>
        </w:rPr>
      </w:pPr>
    </w:p>
    <w:p w:rsidR="00F258D9" w:rsidRDefault="00F258D9">
      <w:pPr>
        <w:rPr>
          <w:u w:val="single"/>
        </w:rPr>
      </w:pPr>
    </w:p>
    <w:p w:rsidR="00F258D9" w:rsidRDefault="00F258D9">
      <w:pPr>
        <w:rPr>
          <w:u w:val="single"/>
        </w:rPr>
      </w:pPr>
    </w:p>
    <w:p w:rsidR="00F258D9" w:rsidRDefault="00557D5C">
      <w:pPr>
        <w:rPr>
          <w:u w:val="single"/>
        </w:rPr>
      </w:pPr>
      <w:r>
        <w:rPr>
          <w:noProof/>
        </w:rPr>
        <w:drawing>
          <wp:anchor distT="0" distB="0" distL="114300" distR="114300" simplePos="0" relativeHeight="251656704" behindDoc="0" locked="0" layoutInCell="1" hidden="0" allowOverlap="1">
            <wp:simplePos x="0" y="0"/>
            <wp:positionH relativeFrom="column">
              <wp:posOffset>1</wp:posOffset>
            </wp:positionH>
            <wp:positionV relativeFrom="paragraph">
              <wp:posOffset>321310</wp:posOffset>
            </wp:positionV>
            <wp:extent cx="6982460" cy="2183765"/>
            <wp:effectExtent l="0" t="0" r="0" b="0"/>
            <wp:wrapSquare wrapText="bothSides" distT="0" distB="0" distL="114300" distR="114300"/>
            <wp:docPr id="2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5"/>
                    <a:srcRect/>
                    <a:stretch>
                      <a:fillRect/>
                    </a:stretch>
                  </pic:blipFill>
                  <pic:spPr>
                    <a:xfrm>
                      <a:off x="0" y="0"/>
                      <a:ext cx="6982460" cy="2183765"/>
                    </a:xfrm>
                    <a:prstGeom prst="rect">
                      <a:avLst/>
                    </a:prstGeom>
                    <a:ln/>
                  </pic:spPr>
                </pic:pic>
              </a:graphicData>
            </a:graphic>
          </wp:anchor>
        </w:drawing>
      </w:r>
    </w:p>
    <w:p w:rsidR="00F258D9" w:rsidRDefault="00F258D9">
      <w:pPr>
        <w:rPr>
          <w:u w:val="single"/>
        </w:rPr>
      </w:pPr>
    </w:p>
    <w:p w:rsidR="00F258D9" w:rsidRDefault="00F258D9">
      <w:pPr>
        <w:rPr>
          <w:u w:val="single"/>
        </w:rPr>
      </w:pPr>
    </w:p>
    <w:p w:rsidR="00F258D9" w:rsidRDefault="00F258D9">
      <w:pPr>
        <w:rPr>
          <w:u w:val="single"/>
        </w:rPr>
      </w:pPr>
    </w:p>
    <w:p w:rsidR="00F258D9" w:rsidRDefault="00F258D9">
      <w:pPr>
        <w:rPr>
          <w:u w:val="single"/>
        </w:rPr>
      </w:pPr>
    </w:p>
    <w:p w:rsidR="00F258D9" w:rsidRDefault="00F258D9">
      <w:pPr>
        <w:rPr>
          <w:u w:val="single"/>
        </w:rPr>
      </w:pPr>
    </w:p>
    <w:p w:rsidR="00F258D9" w:rsidRDefault="00F258D9">
      <w:pPr>
        <w:rPr>
          <w:u w:val="single"/>
        </w:rPr>
      </w:pPr>
    </w:p>
    <w:p w:rsidR="00F258D9" w:rsidRDefault="00F258D9">
      <w:pPr>
        <w:rPr>
          <w:u w:val="single"/>
        </w:rPr>
      </w:pPr>
    </w:p>
    <w:p w:rsidR="00F258D9" w:rsidRDefault="00F258D9">
      <w:pPr>
        <w:rPr>
          <w:u w:val="single"/>
        </w:rPr>
      </w:pPr>
    </w:p>
    <w:p w:rsidR="00F258D9" w:rsidRDefault="00F258D9">
      <w:pPr>
        <w:rPr>
          <w:u w:val="single"/>
        </w:rPr>
      </w:pPr>
    </w:p>
    <w:p w:rsidR="00F258D9" w:rsidRDefault="00557D5C">
      <w:pPr>
        <w:rPr>
          <w:u w:val="single"/>
        </w:rPr>
      </w:pPr>
      <w:r>
        <w:rPr>
          <w:u w:val="single"/>
        </w:rPr>
        <w:t>Maths</w:t>
      </w:r>
    </w:p>
    <w:p w:rsidR="00F258D9" w:rsidRDefault="00557D5C">
      <w:pPr>
        <w:rPr>
          <w:u w:val="single"/>
        </w:rPr>
      </w:pPr>
      <w:r>
        <w:rPr>
          <w:noProof/>
        </w:rPr>
        <w:drawing>
          <wp:anchor distT="0" distB="0" distL="114300" distR="114300" simplePos="0" relativeHeight="251657728" behindDoc="0" locked="0" layoutInCell="1" hidden="0" allowOverlap="1">
            <wp:simplePos x="0" y="0"/>
            <wp:positionH relativeFrom="column">
              <wp:posOffset>1</wp:posOffset>
            </wp:positionH>
            <wp:positionV relativeFrom="paragraph">
              <wp:posOffset>8373</wp:posOffset>
            </wp:positionV>
            <wp:extent cx="6885940" cy="2209800"/>
            <wp:effectExtent l="0" t="0" r="0" b="0"/>
            <wp:wrapSquare wrapText="bothSides" distT="0" distB="0" distL="114300" distR="114300"/>
            <wp:docPr id="2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6885940" cy="2209800"/>
                    </a:xfrm>
                    <a:prstGeom prst="rect">
                      <a:avLst/>
                    </a:prstGeom>
                    <a:ln/>
                  </pic:spPr>
                </pic:pic>
              </a:graphicData>
            </a:graphic>
          </wp:anchor>
        </w:drawing>
      </w:r>
    </w:p>
    <w:p w:rsidR="00F258D9" w:rsidRDefault="00F258D9">
      <w:pPr>
        <w:rPr>
          <w:u w:val="single"/>
        </w:rPr>
      </w:pPr>
    </w:p>
    <w:p w:rsidR="00F258D9" w:rsidRDefault="00557D5C">
      <w:pPr>
        <w:rPr>
          <w:u w:val="single"/>
        </w:rPr>
      </w:pPr>
      <w:r>
        <w:rPr>
          <w:noProof/>
        </w:rPr>
        <mc:AlternateContent>
          <mc:Choice Requires="wps">
            <w:drawing>
              <wp:anchor distT="45720" distB="45720" distL="114300" distR="114300" simplePos="0" relativeHeight="251658752" behindDoc="0" locked="0" layoutInCell="1" hidden="0" allowOverlap="1">
                <wp:simplePos x="0" y="0"/>
                <wp:positionH relativeFrom="column">
                  <wp:posOffset>7734300</wp:posOffset>
                </wp:positionH>
                <wp:positionV relativeFrom="paragraph">
                  <wp:posOffset>325120</wp:posOffset>
                </wp:positionV>
                <wp:extent cx="1769110" cy="24479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466208" y="2560800"/>
                          <a:ext cx="1759585" cy="2438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58D9" w:rsidRDefault="00557D5C">
                            <w:pPr>
                              <w:ind w:left="720"/>
                              <w:textDirection w:val="btLr"/>
                            </w:pPr>
                            <w:r>
                              <w:t>What does this tell us?</w:t>
                            </w:r>
                          </w:p>
                          <w:p w:rsidR="00F258D9" w:rsidRPr="00041408" w:rsidRDefault="00557D5C">
                            <w:pPr>
                              <w:spacing w:after="0" w:line="240" w:lineRule="auto"/>
                              <w:ind w:left="720" w:firstLine="360"/>
                              <w:textDirection w:val="btLr"/>
                              <w:rPr>
                                <w:sz w:val="22"/>
                              </w:rPr>
                            </w:pPr>
                            <w:r w:rsidRPr="00041408">
                              <w:rPr>
                                <w:color w:val="000000"/>
                              </w:rPr>
                              <w:t>Need to target Y4 PP with more interventions</w:t>
                            </w:r>
                          </w:p>
                          <w:p w:rsidR="00F258D9" w:rsidRPr="00041408" w:rsidRDefault="00557D5C">
                            <w:pPr>
                              <w:spacing w:after="0" w:line="240" w:lineRule="auto"/>
                              <w:ind w:left="720" w:firstLine="360"/>
                              <w:textDirection w:val="btLr"/>
                              <w:rPr>
                                <w:sz w:val="22"/>
                              </w:rPr>
                            </w:pPr>
                            <w:r w:rsidRPr="00041408">
                              <w:rPr>
                                <w:color w:val="000000"/>
                              </w:rPr>
                              <w:t xml:space="preserve">PP </w:t>
                            </w:r>
                            <w:proofErr w:type="spellStart"/>
                            <w:r w:rsidRPr="00041408">
                              <w:rPr>
                                <w:color w:val="000000"/>
                              </w:rPr>
                              <w:t>chn</w:t>
                            </w:r>
                            <w:proofErr w:type="spellEnd"/>
                            <w:r w:rsidRPr="00041408">
                              <w:rPr>
                                <w:color w:val="000000"/>
                              </w:rPr>
                              <w:t xml:space="preserve"> achieve lower GD in KS1</w:t>
                            </w:r>
                          </w:p>
                          <w:p w:rsidR="00F258D9" w:rsidRDefault="00F258D9">
                            <w:pPr>
                              <w:ind w:left="720"/>
                              <w:textDirection w:val="btLr"/>
                            </w:pPr>
                          </w:p>
                        </w:txbxContent>
                      </wps:txbx>
                      <wps:bodyPr spcFirstLastPara="1" wrap="square" lIns="91425" tIns="45700" rIns="91425" bIns="45700" anchor="t" anchorCtr="0">
                        <a:noAutofit/>
                      </wps:bodyPr>
                    </wps:wsp>
                  </a:graphicData>
                </a:graphic>
              </wp:anchor>
            </w:drawing>
          </mc:Choice>
          <mc:Fallback>
            <w:pict>
              <v:rect id="Rectangle 222" o:spid="_x0000_s1031" style="position:absolute;margin-left:609pt;margin-top:25.6pt;width:139.3pt;height:192.7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o1OwIAAH0EAAAOAAAAZHJzL2Uyb0RvYy54bWysVNuO0zAQfUfiHyy/06Sh6bZR0xXaUoS0&#10;goqFD5g6TmPJN2y3Sf+esVO2XUBCQvjBGdvjM2fOeLK6H5QkJ+68MLqm00lOCdfMNEIfavrt6/bN&#10;ghIfQDcgjeY1PXNP79evX616W/HCdEY23BEE0b7qbU27EGyVZZ51XIGfGMs1HrbGKQi4dIescdAj&#10;upJZkefzrDeusc4w7j3ubsZDuk74bctZ+Ny2ngcia4rcQppdmvdxztYrqA4ObCfYhQb8AwsFQmPQ&#10;Z6gNBCBHJ36DUoI5400bJsyozLStYDzlgNlM81+yeerA8pQLiuPts0z+/8GyT6edI6KpaVEUlGhQ&#10;WKQvKBvog+QkbqJEvfUVej7ZnbusPJox36F1Kn4xEzLUdDabz4sca35GwHKeL/KLxHwIhKHD9K5c&#10;louSEhY9Zm8Xs9Eju0JZ58MHbhSJRk0dkknSwunRBwyPrj9dYmRvpGi2Qsq0cIf9g3TkBFjvbRqR&#10;P1554SY16Wu6LItIBPDZtRICmsqiEF4fUrwXN/wtcJ7Gn4AjsQ34biSQEKIbVEoEfOdSqJqiJjjG&#10;7Y5D8143JJwt6q6xRWhk5hUlkmNDoZGuBxDy736YptSYbSzXWKBohWE/pArfRay4szfNGavuLdsK&#10;JPwIPuzA4bufYnTsBYz7/QgOuciPGh/bcjqLSoW0mJV3yJ6425P97Qlo1hlsMRR0NB9Cargogzbv&#10;jsG0ItXxSuXCGd94qtWlH2MT3a6T1/Wvsf4BAAD//wMAUEsDBBQABgAIAAAAIQDTL6rw3wAAAAwB&#10;AAAPAAAAZHJzL2Rvd25yZXYueG1sTI/NTsMwEITvSLyDtUhcEHWSlrSEOBVE4ggSKQ+wjZckIl5H&#10;sfPD2+Oe4Dia0cw3+XE1vZhpdJ1lBfEmAkFcW91xo+Dz9Hp/AOE8ssbeMin4IQfH4voqx0zbhT9o&#10;rnwjQgm7DBW03g+ZlK5uyaDb2IE4eF92NOiDHBupR1xCuellEkWpNNhxWGhxoLKl+ruajIKT23Yl&#10;9dXezXP19lJOd2bBd6Vub9bnJxCeVv8Xhgt+QIciMJ3txNqJPugkPoQzXsFDnIC4JHaPaQrirGC3&#10;Tfcgi1z+P1H8AgAA//8DAFBLAQItABQABgAIAAAAIQC2gziS/gAAAOEBAAATAAAAAAAAAAAAAAAA&#10;AAAAAABbQ29udGVudF9UeXBlc10ueG1sUEsBAi0AFAAGAAgAAAAhADj9If/WAAAAlAEAAAsAAAAA&#10;AAAAAAAAAAAALwEAAF9yZWxzLy5yZWxzUEsBAi0AFAAGAAgAAAAhAMjy+jU7AgAAfQQAAA4AAAAA&#10;AAAAAAAAAAAALgIAAGRycy9lMm9Eb2MueG1sUEsBAi0AFAAGAAgAAAAhANMvqvDfAAAADAEAAA8A&#10;AAAAAAAAAAAAAAAAlQQAAGRycy9kb3ducmV2LnhtbFBLBQYAAAAABAAEAPMAAAChBQAAAAA=&#10;">
                <v:stroke startarrowwidth="narrow" startarrowlength="short" endarrowwidth="narrow" endarrowlength="short"/>
                <v:textbox inset="2.53958mm,1.2694mm,2.53958mm,1.2694mm">
                  <w:txbxContent>
                    <w:p w:rsidR="00F258D9" w:rsidRDefault="00557D5C">
                      <w:pPr>
                        <w:ind w:left="720"/>
                        <w:textDirection w:val="btLr"/>
                      </w:pPr>
                      <w:r>
                        <w:t>What does this tell us?</w:t>
                      </w:r>
                    </w:p>
                    <w:p w:rsidR="00F258D9" w:rsidRPr="00041408" w:rsidRDefault="00557D5C">
                      <w:pPr>
                        <w:spacing w:after="0" w:line="240" w:lineRule="auto"/>
                        <w:ind w:left="720" w:firstLine="360"/>
                        <w:textDirection w:val="btLr"/>
                        <w:rPr>
                          <w:sz w:val="22"/>
                        </w:rPr>
                      </w:pPr>
                      <w:bookmarkStart w:id="5" w:name="_GoBack"/>
                      <w:r w:rsidRPr="00041408">
                        <w:rPr>
                          <w:color w:val="000000"/>
                        </w:rPr>
                        <w:t>Need to target Y4 PP with more interventions</w:t>
                      </w:r>
                    </w:p>
                    <w:p w:rsidR="00F258D9" w:rsidRPr="00041408" w:rsidRDefault="00557D5C">
                      <w:pPr>
                        <w:spacing w:after="0" w:line="240" w:lineRule="auto"/>
                        <w:ind w:left="720" w:firstLine="360"/>
                        <w:textDirection w:val="btLr"/>
                        <w:rPr>
                          <w:sz w:val="22"/>
                        </w:rPr>
                      </w:pPr>
                      <w:r w:rsidRPr="00041408">
                        <w:rPr>
                          <w:color w:val="000000"/>
                        </w:rPr>
                        <w:t xml:space="preserve">PP </w:t>
                      </w:r>
                      <w:proofErr w:type="spellStart"/>
                      <w:r w:rsidRPr="00041408">
                        <w:rPr>
                          <w:color w:val="000000"/>
                        </w:rPr>
                        <w:t>chn</w:t>
                      </w:r>
                      <w:proofErr w:type="spellEnd"/>
                      <w:r w:rsidRPr="00041408">
                        <w:rPr>
                          <w:color w:val="000000"/>
                        </w:rPr>
                        <w:t xml:space="preserve"> achieve lower GD in KS1</w:t>
                      </w:r>
                    </w:p>
                    <w:bookmarkEnd w:id="5"/>
                    <w:p w:rsidR="00F258D9" w:rsidRDefault="00F258D9">
                      <w:pPr>
                        <w:ind w:left="720"/>
                        <w:textDirection w:val="btLr"/>
                      </w:pPr>
                    </w:p>
                  </w:txbxContent>
                </v:textbox>
                <w10:wrap type="square"/>
              </v:rect>
            </w:pict>
          </mc:Fallback>
        </mc:AlternateContent>
      </w:r>
    </w:p>
    <w:p w:rsidR="00F258D9" w:rsidRDefault="00F258D9">
      <w:pPr>
        <w:rPr>
          <w:u w:val="single"/>
        </w:rPr>
      </w:pPr>
    </w:p>
    <w:p w:rsidR="00F258D9" w:rsidRDefault="00F258D9">
      <w:pPr>
        <w:rPr>
          <w:u w:val="single"/>
        </w:rPr>
      </w:pPr>
    </w:p>
    <w:p w:rsidR="00F258D9" w:rsidRDefault="00F258D9">
      <w:pPr>
        <w:rPr>
          <w:u w:val="single"/>
        </w:rPr>
      </w:pPr>
    </w:p>
    <w:p w:rsidR="00F258D9" w:rsidRDefault="00557D5C">
      <w:pPr>
        <w:rPr>
          <w:u w:val="single"/>
        </w:rPr>
      </w:pPr>
      <w:r>
        <w:rPr>
          <w:noProof/>
        </w:rPr>
        <w:drawing>
          <wp:anchor distT="0" distB="0" distL="114300" distR="114300" simplePos="0" relativeHeight="251659776" behindDoc="0" locked="0" layoutInCell="1" hidden="0" allowOverlap="1">
            <wp:simplePos x="0" y="0"/>
            <wp:positionH relativeFrom="column">
              <wp:posOffset>13336</wp:posOffset>
            </wp:positionH>
            <wp:positionV relativeFrom="paragraph">
              <wp:posOffset>333375</wp:posOffset>
            </wp:positionV>
            <wp:extent cx="6942455" cy="2285365"/>
            <wp:effectExtent l="0" t="0" r="0" b="0"/>
            <wp:wrapSquare wrapText="bothSides" distT="0" distB="0" distL="114300" distR="114300"/>
            <wp:docPr id="23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7"/>
                    <a:srcRect/>
                    <a:stretch>
                      <a:fillRect/>
                    </a:stretch>
                  </pic:blipFill>
                  <pic:spPr>
                    <a:xfrm>
                      <a:off x="0" y="0"/>
                      <a:ext cx="6942455" cy="2285365"/>
                    </a:xfrm>
                    <a:prstGeom prst="rect">
                      <a:avLst/>
                    </a:prstGeom>
                    <a:ln/>
                  </pic:spPr>
                </pic:pic>
              </a:graphicData>
            </a:graphic>
          </wp:anchor>
        </w:drawing>
      </w:r>
    </w:p>
    <w:p w:rsidR="00F258D9" w:rsidRDefault="00557D5C">
      <w:pPr>
        <w:rPr>
          <w:u w:val="single"/>
        </w:rPr>
      </w:pPr>
      <w:r>
        <w:rPr>
          <w:u w:val="single"/>
        </w:rPr>
        <w:lastRenderedPageBreak/>
        <w:t>Attendance</w:t>
      </w:r>
      <w:r>
        <w:rPr>
          <w:noProof/>
        </w:rPr>
        <w:drawing>
          <wp:anchor distT="0" distB="0" distL="114300" distR="114300" simplePos="0" relativeHeight="251660800" behindDoc="0" locked="0" layoutInCell="1" hidden="0" allowOverlap="1">
            <wp:simplePos x="0" y="0"/>
            <wp:positionH relativeFrom="column">
              <wp:posOffset>1</wp:posOffset>
            </wp:positionH>
            <wp:positionV relativeFrom="paragraph">
              <wp:posOffset>650388</wp:posOffset>
            </wp:positionV>
            <wp:extent cx="4093841" cy="2598178"/>
            <wp:effectExtent l="0" t="0" r="0" b="0"/>
            <wp:wrapSquare wrapText="bothSides" distT="0" distB="0" distL="114300" distR="114300"/>
            <wp:docPr id="2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8"/>
                    <a:srcRect/>
                    <a:stretch>
                      <a:fillRect/>
                    </a:stretch>
                  </pic:blipFill>
                  <pic:spPr>
                    <a:xfrm>
                      <a:off x="0" y="0"/>
                      <a:ext cx="4093841" cy="2598178"/>
                    </a:xfrm>
                    <a:prstGeom prst="rect">
                      <a:avLst/>
                    </a:prstGeom>
                    <a:ln/>
                  </pic:spPr>
                </pic:pic>
              </a:graphicData>
            </a:graphic>
          </wp:anchor>
        </w:drawing>
      </w:r>
      <w:r>
        <w:rPr>
          <w:noProof/>
        </w:rPr>
        <w:drawing>
          <wp:anchor distT="0" distB="0" distL="114300" distR="114300" simplePos="0" relativeHeight="251661824" behindDoc="0" locked="0" layoutInCell="1" hidden="0" allowOverlap="1">
            <wp:simplePos x="0" y="0"/>
            <wp:positionH relativeFrom="column">
              <wp:posOffset>45455</wp:posOffset>
            </wp:positionH>
            <wp:positionV relativeFrom="paragraph">
              <wp:posOffset>3379144</wp:posOffset>
            </wp:positionV>
            <wp:extent cx="4141857" cy="2649290"/>
            <wp:effectExtent l="0" t="0" r="0" b="0"/>
            <wp:wrapSquare wrapText="bothSides" distT="0" distB="0" distL="114300" distR="114300"/>
            <wp:docPr id="2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9"/>
                    <a:srcRect/>
                    <a:stretch>
                      <a:fillRect/>
                    </a:stretch>
                  </pic:blipFill>
                  <pic:spPr>
                    <a:xfrm>
                      <a:off x="0" y="0"/>
                      <a:ext cx="4141857" cy="2649290"/>
                    </a:xfrm>
                    <a:prstGeom prst="rect">
                      <a:avLst/>
                    </a:prstGeom>
                    <a:ln/>
                  </pic:spPr>
                </pic:pic>
              </a:graphicData>
            </a:graphic>
          </wp:anchor>
        </w:drawing>
      </w:r>
      <w:r>
        <w:rPr>
          <w:noProof/>
        </w:rPr>
        <mc:AlternateContent>
          <mc:Choice Requires="wpg">
            <w:drawing>
              <wp:anchor distT="45720" distB="45720" distL="114300" distR="114300" simplePos="0" relativeHeight="251662848" behindDoc="0" locked="0" layoutInCell="1" hidden="0" allowOverlap="1">
                <wp:simplePos x="0" y="0"/>
                <wp:positionH relativeFrom="column">
                  <wp:posOffset>4838700</wp:posOffset>
                </wp:positionH>
                <wp:positionV relativeFrom="paragraph">
                  <wp:posOffset>1074420</wp:posOffset>
                </wp:positionV>
                <wp:extent cx="3486150" cy="166814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3607688" y="2950690"/>
                          <a:ext cx="3476625" cy="1658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258D9" w:rsidRDefault="00557D5C">
                            <w:pPr>
                              <w:ind w:left="720"/>
                              <w:textDirection w:val="btLr"/>
                            </w:pPr>
                            <w:r>
                              <w:t>What does this tell us?</w:t>
                            </w:r>
                          </w:p>
                          <w:p w:rsidR="00F258D9" w:rsidRDefault="00557D5C">
                            <w:pPr>
                              <w:spacing w:after="0" w:line="240" w:lineRule="auto"/>
                              <w:ind w:left="720" w:firstLine="360"/>
                              <w:textDirection w:val="btLr"/>
                            </w:pPr>
                            <w:r>
                              <w:rPr>
                                <w:color w:val="000000"/>
                                <w:sz w:val="28"/>
                              </w:rPr>
                              <w:t xml:space="preserve">Attendance for PP </w:t>
                            </w:r>
                            <w:proofErr w:type="spellStart"/>
                            <w:r>
                              <w:rPr>
                                <w:color w:val="000000"/>
                                <w:sz w:val="28"/>
                              </w:rPr>
                              <w:t>chn</w:t>
                            </w:r>
                            <w:proofErr w:type="spellEnd"/>
                            <w:r>
                              <w:rPr>
                                <w:color w:val="000000"/>
                                <w:sz w:val="28"/>
                              </w:rPr>
                              <w:t xml:space="preserve"> is better overall</w:t>
                            </w:r>
                          </w:p>
                          <w:p w:rsidR="00F258D9" w:rsidRDefault="00557D5C">
                            <w:pPr>
                              <w:spacing w:after="0" w:line="240" w:lineRule="auto"/>
                              <w:ind w:left="720" w:firstLine="360"/>
                              <w:textDirection w:val="btLr"/>
                            </w:pPr>
                            <w:r>
                              <w:rPr>
                                <w:color w:val="000000"/>
                                <w:sz w:val="28"/>
                              </w:rPr>
                              <w:t>Need to monitor Y1 PP attendance and Y5 non-PP attendance closely</w:t>
                            </w:r>
                          </w:p>
                          <w:p w:rsidR="00F258D9" w:rsidRDefault="00F258D9">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1074420</wp:posOffset>
                </wp:positionV>
                <wp:extent cx="3486150" cy="1668145"/>
                <wp:effectExtent b="0" l="0" r="0" t="0"/>
                <wp:wrapSquare wrapText="bothSides" distB="45720" distT="45720" distL="114300" distR="114300"/>
                <wp:docPr id="224" name="image6.png"/>
                <a:graphic>
                  <a:graphicData uri="http://schemas.openxmlformats.org/drawingml/2006/picture">
                    <pic:pic>
                      <pic:nvPicPr>
                        <pic:cNvPr id="0" name="image6.png"/>
                        <pic:cNvPicPr preferRelativeResize="0"/>
                      </pic:nvPicPr>
                      <pic:blipFill>
                        <a:blip r:embed="rId40"/>
                        <a:srcRect/>
                        <a:stretch>
                          <a:fillRect/>
                        </a:stretch>
                      </pic:blipFill>
                      <pic:spPr>
                        <a:xfrm>
                          <a:off x="0" y="0"/>
                          <a:ext cx="3486150" cy="1668145"/>
                        </a:xfrm>
                        <a:prstGeom prst="rect"/>
                        <a:ln/>
                      </pic:spPr>
                    </pic:pic>
                  </a:graphicData>
                </a:graphic>
              </wp:anchor>
            </w:drawing>
          </mc:Fallback>
        </mc:AlternateContent>
      </w:r>
    </w:p>
    <w:sectPr w:rsidR="00F258D9">
      <w:headerReference w:type="default" r:id="rId41"/>
      <w:footerReference w:type="default" r:id="rId42"/>
      <w:pgSz w:w="16838" w:h="11906" w:orient="landscape"/>
      <w:pgMar w:top="1134" w:right="1134" w:bottom="1276"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B6" w:rsidRDefault="00E92BB6">
      <w:pPr>
        <w:spacing w:after="0" w:line="240" w:lineRule="auto"/>
      </w:pPr>
      <w:r>
        <w:separator/>
      </w:r>
    </w:p>
  </w:endnote>
  <w:endnote w:type="continuationSeparator" w:id="0">
    <w:p w:rsidR="00E92BB6" w:rsidRDefault="00E9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D9" w:rsidRDefault="00557D5C">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E180F">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B6" w:rsidRDefault="00E92BB6">
      <w:pPr>
        <w:spacing w:after="0" w:line="240" w:lineRule="auto"/>
      </w:pPr>
      <w:r>
        <w:separator/>
      </w:r>
    </w:p>
  </w:footnote>
  <w:footnote w:type="continuationSeparator" w:id="0">
    <w:p w:rsidR="00E92BB6" w:rsidRDefault="00E92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D9" w:rsidRDefault="00F258D9">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37325"/>
    <w:multiLevelType w:val="multilevel"/>
    <w:tmpl w:val="433EF87E"/>
    <w:lvl w:ilvl="0">
      <w:start w:val="1"/>
      <w:numFmt w:val="bullet"/>
      <w:lvlText w:val="●"/>
      <w:lvlJc w:val="left"/>
      <w:pPr>
        <w:ind w:left="777" w:hanging="360"/>
      </w:pPr>
      <w:rPr>
        <w:rFonts w:ascii="Noto Sans" w:eastAsia="Noto Sans" w:hAnsi="Noto Sans" w:cs="Noto San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w:eastAsia="Noto Sans" w:hAnsi="Noto Sans" w:cs="Noto Sans"/>
      </w:rPr>
    </w:lvl>
    <w:lvl w:ilvl="3">
      <w:start w:val="1"/>
      <w:numFmt w:val="bullet"/>
      <w:lvlText w:val="●"/>
      <w:lvlJc w:val="left"/>
      <w:pPr>
        <w:ind w:left="2937" w:hanging="360"/>
      </w:pPr>
      <w:rPr>
        <w:rFonts w:ascii="Noto Sans" w:eastAsia="Noto Sans" w:hAnsi="Noto Sans" w:cs="Noto San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w:eastAsia="Noto Sans" w:hAnsi="Noto Sans" w:cs="Noto Sans"/>
      </w:rPr>
    </w:lvl>
    <w:lvl w:ilvl="6">
      <w:start w:val="1"/>
      <w:numFmt w:val="bullet"/>
      <w:lvlText w:val="●"/>
      <w:lvlJc w:val="left"/>
      <w:pPr>
        <w:ind w:left="5097" w:hanging="360"/>
      </w:pPr>
      <w:rPr>
        <w:rFonts w:ascii="Noto Sans" w:eastAsia="Noto Sans" w:hAnsi="Noto Sans" w:cs="Noto San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w:eastAsia="Noto Sans" w:hAnsi="Noto Sans" w:cs="Noto Sans"/>
      </w:rPr>
    </w:lvl>
  </w:abstractNum>
  <w:abstractNum w:abstractNumId="1">
    <w:nsid w:val="16545346"/>
    <w:multiLevelType w:val="multilevel"/>
    <w:tmpl w:val="C6180E7C"/>
    <w:lvl w:ilvl="0">
      <w:start w:val="1"/>
      <w:numFmt w:val="bullet"/>
      <w:pStyle w:val="ListBullet4"/>
      <w:lvlText w:val="●"/>
      <w:lvlJc w:val="left"/>
      <w:pPr>
        <w:ind w:left="777" w:hanging="360"/>
      </w:pPr>
      <w:rPr>
        <w:rFonts w:ascii="Noto Sans" w:eastAsia="Noto Sans" w:hAnsi="Noto Sans" w:cs="Noto San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w:eastAsia="Noto Sans" w:hAnsi="Noto Sans" w:cs="Noto Sans"/>
      </w:rPr>
    </w:lvl>
    <w:lvl w:ilvl="3">
      <w:start w:val="1"/>
      <w:numFmt w:val="bullet"/>
      <w:lvlText w:val="●"/>
      <w:lvlJc w:val="left"/>
      <w:pPr>
        <w:ind w:left="2937" w:hanging="360"/>
      </w:pPr>
      <w:rPr>
        <w:rFonts w:ascii="Noto Sans" w:eastAsia="Noto Sans" w:hAnsi="Noto Sans" w:cs="Noto San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w:eastAsia="Noto Sans" w:hAnsi="Noto Sans" w:cs="Noto Sans"/>
      </w:rPr>
    </w:lvl>
    <w:lvl w:ilvl="6">
      <w:start w:val="1"/>
      <w:numFmt w:val="bullet"/>
      <w:lvlText w:val="●"/>
      <w:lvlJc w:val="left"/>
      <w:pPr>
        <w:ind w:left="5097" w:hanging="360"/>
      </w:pPr>
      <w:rPr>
        <w:rFonts w:ascii="Noto Sans" w:eastAsia="Noto Sans" w:hAnsi="Noto Sans" w:cs="Noto San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w:eastAsia="Noto Sans" w:hAnsi="Noto Sans" w:cs="Noto Sans"/>
      </w:rPr>
    </w:lvl>
  </w:abstractNum>
  <w:abstractNum w:abstractNumId="2">
    <w:nsid w:val="4B5F3E51"/>
    <w:multiLevelType w:val="multilevel"/>
    <w:tmpl w:val="EA568BF2"/>
    <w:lvl w:ilvl="0">
      <w:start w:val="1"/>
      <w:numFmt w:val="bullet"/>
      <w:pStyle w:val="DfESOutNumbered1"/>
      <w:lvlText w:val="●"/>
      <w:lvlJc w:val="left"/>
      <w:pPr>
        <w:ind w:left="777" w:hanging="360"/>
      </w:pPr>
      <w:rPr>
        <w:rFonts w:ascii="Noto Sans" w:eastAsia="Noto Sans" w:hAnsi="Noto Sans" w:cs="Noto San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w:eastAsia="Noto Sans" w:hAnsi="Noto Sans" w:cs="Noto Sans"/>
      </w:rPr>
    </w:lvl>
    <w:lvl w:ilvl="3">
      <w:start w:val="1"/>
      <w:numFmt w:val="bullet"/>
      <w:lvlText w:val="●"/>
      <w:lvlJc w:val="left"/>
      <w:pPr>
        <w:ind w:left="2937" w:hanging="360"/>
      </w:pPr>
      <w:rPr>
        <w:rFonts w:ascii="Noto Sans" w:eastAsia="Noto Sans" w:hAnsi="Noto Sans" w:cs="Noto San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w:eastAsia="Noto Sans" w:hAnsi="Noto Sans" w:cs="Noto Sans"/>
      </w:rPr>
    </w:lvl>
    <w:lvl w:ilvl="6">
      <w:start w:val="1"/>
      <w:numFmt w:val="bullet"/>
      <w:lvlText w:val="●"/>
      <w:lvlJc w:val="left"/>
      <w:pPr>
        <w:ind w:left="5097" w:hanging="360"/>
      </w:pPr>
      <w:rPr>
        <w:rFonts w:ascii="Noto Sans" w:eastAsia="Noto Sans" w:hAnsi="Noto Sans" w:cs="Noto San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w:eastAsia="Noto Sans" w:hAnsi="Noto Sans" w:cs="Noto Sans"/>
      </w:rPr>
    </w:lvl>
  </w:abstractNum>
  <w:abstractNum w:abstractNumId="3">
    <w:nsid w:val="5C737F9A"/>
    <w:multiLevelType w:val="multilevel"/>
    <w:tmpl w:val="3D044FA6"/>
    <w:lvl w:ilvl="0">
      <w:numFmt w:val="bullet"/>
      <w:lvlText w:val="●"/>
      <w:lvlJc w:val="left"/>
      <w:pPr>
        <w:ind w:left="720" w:hanging="360"/>
      </w:pPr>
      <w:rPr>
        <w:rFonts w:ascii="Noto Sans" w:eastAsia="Noto Sans" w:hAnsi="Noto Sans" w:cs="Noto San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numFmt w:val="bullet"/>
      <w:lvlText w:val="●"/>
      <w:lvlJc w:val="left"/>
      <w:pPr>
        <w:ind w:left="2880" w:hanging="360"/>
      </w:pPr>
      <w:rPr>
        <w:rFonts w:ascii="Noto Sans" w:eastAsia="Noto Sans" w:hAnsi="Noto Sans" w:cs="Noto San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w:eastAsia="Noto Sans" w:hAnsi="Noto Sans" w:cs="Noto Sans"/>
      </w:rPr>
    </w:lvl>
    <w:lvl w:ilvl="6">
      <w:numFmt w:val="bullet"/>
      <w:pStyle w:val="Heading7"/>
      <w:lvlText w:val="●"/>
      <w:lvlJc w:val="left"/>
      <w:pPr>
        <w:ind w:left="5040" w:hanging="360"/>
      </w:pPr>
      <w:rPr>
        <w:rFonts w:ascii="Noto Sans" w:eastAsia="Noto Sans" w:hAnsi="Noto Sans" w:cs="Noto San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w:eastAsia="Noto Sans" w:hAnsi="Noto Sans" w:cs="Noto Sans"/>
      </w:rPr>
    </w:lvl>
  </w:abstractNum>
  <w:abstractNum w:abstractNumId="4">
    <w:nsid w:val="73F602CA"/>
    <w:multiLevelType w:val="multilevel"/>
    <w:tmpl w:val="531487D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D9"/>
    <w:rsid w:val="00041408"/>
    <w:rsid w:val="00557D5C"/>
    <w:rsid w:val="006E180F"/>
    <w:rsid w:val="00E92BB6"/>
    <w:rsid w:val="00F2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4AC3148D-5638-45DA-8919-184DDEBB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mazon.co.uk/s/ref=dp_byline_sr_book_1?ie=UTF8&amp;field-author=Susan+Gathercole&amp;text=Susan+Gathercole&amp;sort=relevancerank&amp;search-alias=books-uk" TargetMode="Externa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hyperlink" Target="https://www.gov.uk/guidance/mental-health-and-wellbeing-support-in-schools-and-colleges" TargetMode="External"/><Relationship Id="rId39" Type="http://schemas.openxmlformats.org/officeDocument/2006/relationships/image" Target="media/image9.png"/><Relationship Id="rId3" Type="http://schemas.openxmlformats.org/officeDocument/2006/relationships/styles" Target="styles.xml"/><Relationship Id="rId34" Type="http://schemas.openxmlformats.org/officeDocument/2006/relationships/image" Target="media/image3.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endowmentfoundation.org.uk/public/files/Publications/Pupil_Premium_Guidance_iPDF.pdf" TargetMode="External"/><Relationship Id="rId17" Type="http://schemas.openxmlformats.org/officeDocument/2006/relationships/hyperlink" Target="https://educationendowmentfoundation.org.uk/support-for-schools/school-improvement-planning/2-targeted-academic-support" TargetMode="External"/><Relationship Id="rId25" Type="http://schemas.openxmlformats.org/officeDocument/2006/relationships/hyperlink" Target="https://www.gov.uk/government/publications/school-attendance/framework-for-securing-full-attendance-actions-for-schools-and-local-authorities" TargetMode="External"/><Relationship Id="rId33" Type="http://schemas.openxmlformats.org/officeDocument/2006/relationships/oleObject" Target="embeddings/oleObject2.bin"/><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educationendowmentfoundation.org.uk/projects-and-evaluation/projects/vocabulary-enrichment-intervention" TargetMode="External"/><Relationship Id="rId29" Type="http://schemas.openxmlformats.org/officeDocument/2006/relationships/hyperlink" Target="https://www.gov.uk/government/consultations/education-inspection-framework-2019-inspecting-the-substance-of-education/outcome/education-inspection-framework-2019-a-report-on-the-responses-to-the-consultatio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image" Target="media/image8.png"/><Relationship Id="rId32" Type="http://schemas.openxmlformats.org/officeDocument/2006/relationships/image" Target="media/image2.png"/><Relationship Id="rId37" Type="http://schemas.openxmlformats.org/officeDocument/2006/relationships/image" Target="media/image6.png"/><Relationship Id="rId40" Type="http://schemas.openxmlformats.org/officeDocument/2006/relationships/image" Target="media/image60.png"/><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phonics/" TargetMode="External"/><Relationship Id="rId28" Type="http://schemas.openxmlformats.org/officeDocument/2006/relationships/hyperlink" Target="https://educationendowmentfoundation.org.uk/projects-and-evaluation/projects/adventure-learning" TargetMode="External"/><Relationship Id="rId36" Type="http://schemas.openxmlformats.org/officeDocument/2006/relationships/image" Target="media/image5.png"/><Relationship Id="rId10" Type="http://schemas.openxmlformats.org/officeDocument/2006/relationships/hyperlink" Target="https://educationendowmentfoundation.org.uk/tools/assessing-and-monitoring-pupil-progress/testing/standardised-tests/" TargetMode="External"/><Relationship Id="rId31" Type="http://schemas.openxmlformats.org/officeDocument/2006/relationships/oleObject" Target="embeddings/oleObject1.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uk/s/ref=dp_byline_sr_book_2?ie=UTF8&amp;field-author=Tracy+Packiam+Alloway&amp;text=Tracy+Packiam+Alloway&amp;sort=relevancerank&amp;search-alias=books-uk" TargetMode="External"/><Relationship Id="rId14" Type="http://schemas.openxmlformats.org/officeDocument/2006/relationships/hyperlink" Target="https://educationendowmentfoundation.org.uk/evidence-summaries/teaching-learning-toolkit/phonics/" TargetMode="External"/><Relationship Id="rId27" Type="http://schemas.openxmlformats.org/officeDocument/2006/relationships/hyperlink" Target="https://www.gov.uk/guidance/mental-health-and-wellbeing-support-in-schools-and-colleges" TargetMode="External"/><Relationship Id="rId30" Type="http://schemas.openxmlformats.org/officeDocument/2006/relationships/image" Target="media/image1.png"/><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75bNb4mPqYjcZwaL5CBq3bIYCA==">AMUW2mVOaTgDJZSKcVmWIcxcIQDdxlqJhwce+tvyc2gAwJZqHfsWC1NYEfEvKPLHoG05c3M7SeQfgIcjanHZwjTp5ni5NS8ou1WGGUh0xXlEj5UKhh17HN4REE4dGvifBwz9WcDl27qVeVK9DhlbWgriKfG4zNIN6CAH4U/CKey5nyYI8cV44x8=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1971</Words>
  <Characters>11240</Characters>
  <Application>Microsoft Office Word</Application>
  <DocSecurity>0</DocSecurity>
  <Lines>93</Lines>
  <Paragraphs>26</Paragraphs>
  <ScaleCrop>false</ScaleCrop>
  <Company>Cnetso</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Jess Dillon</cp:lastModifiedBy>
  <cp:revision>3</cp:revision>
  <dcterms:created xsi:type="dcterms:W3CDTF">2022-06-24T14:23:00Z</dcterms:created>
  <dcterms:modified xsi:type="dcterms:W3CDTF">2022-11-15T14:12:00Z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