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90.0" w:type="dxa"/>
        <w:jc w:val="left"/>
        <w:tblInd w:w="-4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Spelling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24th May 2017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In Spelling this week, we have been recapping homophones.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Success criteria: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Find the meaning of the homophone.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Write the homophone in a sentence.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rtl w:val="0"/>
              </w:rPr>
              <w:t xml:space="preserve">Challenge - write a sentence with 2 of your own homophones.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06.5"/>
              <w:gridCol w:w="2206.5"/>
              <w:gridCol w:w="2206.5"/>
              <w:gridCol w:w="2206.5"/>
              <w:tblGridChange w:id="0">
                <w:tblGrid>
                  <w:gridCol w:w="2206.5"/>
                  <w:gridCol w:w="2206.5"/>
                  <w:gridCol w:w="2206.5"/>
                  <w:gridCol w:w="2206.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groan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flower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grown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their 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there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rain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flour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rtl w:val="0"/>
                    </w:rPr>
                    <w:t xml:space="preserve">reign 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drawing>
                <wp:inline distB="114300" distT="114300" distL="114300" distR="114300">
                  <wp:extent cx="6362700" cy="1268775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6990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126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6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5" Type="http://schemas.openxmlformats.org/officeDocument/2006/relationships/image" Target="media/image2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