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0.0" w:type="dxa"/>
        <w:jc w:val="left"/>
        <w:tblInd w:w="-4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Spelling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24th May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In Spelling this week, we have been learning the ‘aw’ sound.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Success criteria: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Look, cover, write, check the spelling words.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Put the words into sentences.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06.5"/>
              <w:gridCol w:w="2206.5"/>
              <w:gridCol w:w="2206.5"/>
              <w:gridCol w:w="2206.5"/>
              <w:tblGridChange w:id="0">
                <w:tblGrid>
                  <w:gridCol w:w="2206.5"/>
                  <w:gridCol w:w="2206.5"/>
                  <w:gridCol w:w="2206.5"/>
                  <w:gridCol w:w="2206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rtl w:val="0"/>
                    </w:rPr>
                    <w:t xml:space="preserve">Look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rtl w:val="0"/>
                    </w:rPr>
                    <w:t xml:space="preserve">Cover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rtl w:val="0"/>
                    </w:rPr>
                    <w:t xml:space="preserve">Write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rtl w:val="0"/>
                    </w:rPr>
                    <w:t xml:space="preserve">Check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paw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claw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saw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straw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draw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