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88DD" w14:textId="77777777" w:rsidR="000920B8" w:rsidRDefault="000920B8" w:rsidP="000920B8">
      <w:pPr>
        <w:spacing w:after="0" w:line="240" w:lineRule="auto"/>
        <w:rPr>
          <w:rFonts w:eastAsia="Times New Roman"/>
          <w:b/>
          <w:bCs/>
          <w:sz w:val="28"/>
          <w:szCs w:val="28"/>
        </w:rPr>
      </w:pPr>
      <w:r>
        <w:rPr>
          <w:rFonts w:eastAsia="Times New Roman"/>
          <w:b/>
          <w:bCs/>
          <w:sz w:val="28"/>
          <w:szCs w:val="28"/>
        </w:rPr>
        <w:t>The Engagement Model – Information for families</w:t>
      </w:r>
    </w:p>
    <w:p w14:paraId="64764539" w14:textId="77777777" w:rsidR="000920B8" w:rsidRDefault="000920B8" w:rsidP="000920B8">
      <w:pPr>
        <w:spacing w:after="0" w:line="240" w:lineRule="auto"/>
        <w:rPr>
          <w:rFonts w:eastAsia="Times New Roman"/>
          <w:b/>
          <w:bCs/>
          <w:sz w:val="28"/>
          <w:szCs w:val="28"/>
        </w:rPr>
      </w:pPr>
    </w:p>
    <w:p w14:paraId="284A8BBA" w14:textId="77777777" w:rsidR="000920B8" w:rsidRDefault="000920B8" w:rsidP="000920B8">
      <w:pPr>
        <w:spacing w:after="0" w:line="240" w:lineRule="auto"/>
        <w:jc w:val="both"/>
        <w:rPr>
          <w:rFonts w:eastAsia="Times New Roman"/>
          <w:bCs/>
          <w:sz w:val="28"/>
          <w:szCs w:val="28"/>
        </w:rPr>
      </w:pPr>
      <w:r>
        <w:rPr>
          <w:rFonts w:eastAsia="Times New Roman"/>
          <w:bCs/>
          <w:sz w:val="28"/>
          <w:szCs w:val="28"/>
        </w:rPr>
        <w:t xml:space="preserve">In </w:t>
      </w:r>
      <w:r w:rsidR="00807EAC">
        <w:rPr>
          <w:rFonts w:eastAsia="Times New Roman"/>
          <w:bCs/>
          <w:sz w:val="28"/>
          <w:szCs w:val="28"/>
        </w:rPr>
        <w:t>September 2020 we</w:t>
      </w:r>
      <w:r>
        <w:rPr>
          <w:rFonts w:eastAsia="Times New Roman"/>
          <w:bCs/>
          <w:sz w:val="28"/>
          <w:szCs w:val="28"/>
        </w:rPr>
        <w:t xml:space="preserve"> started using the Engagement Model to monitor and unde</w:t>
      </w:r>
      <w:r w:rsidR="00807EAC">
        <w:rPr>
          <w:rFonts w:eastAsia="Times New Roman"/>
          <w:bCs/>
          <w:sz w:val="28"/>
          <w:szCs w:val="28"/>
        </w:rPr>
        <w:t>rstand progress for our PMLD cohort</w:t>
      </w:r>
      <w:r>
        <w:rPr>
          <w:rFonts w:eastAsia="Times New Roman"/>
          <w:bCs/>
          <w:sz w:val="28"/>
          <w:szCs w:val="28"/>
        </w:rPr>
        <w:t>. This mo</w:t>
      </w:r>
      <w:r w:rsidR="00807EAC">
        <w:rPr>
          <w:rFonts w:eastAsia="Times New Roman"/>
          <w:bCs/>
          <w:sz w:val="28"/>
          <w:szCs w:val="28"/>
        </w:rPr>
        <w:t>del is based on the idea that students</w:t>
      </w:r>
      <w:r>
        <w:rPr>
          <w:rFonts w:eastAsia="Times New Roman"/>
          <w:bCs/>
          <w:sz w:val="28"/>
          <w:szCs w:val="28"/>
        </w:rPr>
        <w:t xml:space="preserve"> must be engaged to learn. This means we have to understand our learners’ interests and motivations to ensure we provide appropriate learning opportunities. </w:t>
      </w:r>
    </w:p>
    <w:p w14:paraId="4EDF2740" w14:textId="77777777" w:rsidR="000920B8" w:rsidRDefault="000920B8" w:rsidP="000920B8">
      <w:pPr>
        <w:spacing w:after="0" w:line="240" w:lineRule="auto"/>
        <w:jc w:val="both"/>
        <w:rPr>
          <w:rFonts w:eastAsia="Times New Roman"/>
          <w:bCs/>
          <w:sz w:val="28"/>
          <w:szCs w:val="28"/>
        </w:rPr>
      </w:pPr>
    </w:p>
    <w:p w14:paraId="61F1A36E" w14:textId="77777777" w:rsidR="000920B8" w:rsidRDefault="000920B8" w:rsidP="000920B8">
      <w:pPr>
        <w:spacing w:after="0" w:line="240" w:lineRule="auto"/>
        <w:jc w:val="both"/>
        <w:rPr>
          <w:rFonts w:eastAsia="Times New Roman"/>
          <w:b/>
          <w:bCs/>
          <w:sz w:val="28"/>
          <w:szCs w:val="28"/>
        </w:rPr>
      </w:pPr>
      <w:r>
        <w:rPr>
          <w:rFonts w:eastAsia="Times New Roman"/>
          <w:bCs/>
          <w:sz w:val="28"/>
          <w:szCs w:val="28"/>
        </w:rPr>
        <w:t>The Engagement Model looks at five different ways students can show they are engaged:</w:t>
      </w:r>
    </w:p>
    <w:p w14:paraId="0E17A35B" w14:textId="77777777" w:rsidR="000920B8" w:rsidRDefault="000920B8" w:rsidP="000920B8">
      <w:pPr>
        <w:spacing w:after="0" w:line="240" w:lineRule="auto"/>
        <w:rPr>
          <w:rFonts w:eastAsia="Times New Roman"/>
          <w:b/>
          <w:bCs/>
          <w:sz w:val="28"/>
          <w:szCs w:val="28"/>
        </w:rPr>
      </w:pPr>
    </w:p>
    <w:p w14:paraId="3BE29F38" w14:textId="77777777" w:rsidR="000920B8" w:rsidRPr="000920B8" w:rsidRDefault="000920B8" w:rsidP="000920B8">
      <w:pPr>
        <w:spacing w:line="240" w:lineRule="auto"/>
        <w:jc w:val="both"/>
        <w:rPr>
          <w:rFonts w:eastAsia="Times New Roman"/>
          <w:i/>
          <w:iCs/>
          <w:color w:val="FF0000"/>
          <w:sz w:val="28"/>
          <w:szCs w:val="28"/>
        </w:rPr>
      </w:pPr>
      <w:r w:rsidRPr="000920B8">
        <w:rPr>
          <w:rFonts w:eastAsia="Times New Roman"/>
          <w:b/>
          <w:bCs/>
          <w:color w:val="FF0000"/>
          <w:sz w:val="28"/>
          <w:szCs w:val="28"/>
        </w:rPr>
        <w:t xml:space="preserve">Exploration - </w:t>
      </w:r>
      <w:r w:rsidRPr="000920B8">
        <w:rPr>
          <w:rFonts w:eastAsia="Times New Roman"/>
          <w:bCs/>
          <w:i/>
          <w:color w:val="FF0000"/>
          <w:sz w:val="28"/>
          <w:szCs w:val="28"/>
        </w:rPr>
        <w:t>How the learner demonstrates awareness of, and purposeful interaction with, a stimulus (object, activity or person)</w:t>
      </w:r>
      <w:r w:rsidR="00807EAC">
        <w:rPr>
          <w:rFonts w:eastAsia="Times New Roman"/>
          <w:bCs/>
          <w:i/>
          <w:color w:val="FF0000"/>
          <w:sz w:val="28"/>
          <w:szCs w:val="28"/>
        </w:rPr>
        <w:t>. They might track an object moving, reach out towards it or turn their head towards it.</w:t>
      </w:r>
    </w:p>
    <w:p w14:paraId="0002F3ED" w14:textId="77777777" w:rsidR="000920B8" w:rsidRPr="000920B8" w:rsidRDefault="000920B8" w:rsidP="000920B8">
      <w:pPr>
        <w:spacing w:line="240" w:lineRule="auto"/>
        <w:jc w:val="both"/>
        <w:rPr>
          <w:rFonts w:ascii="Times New Roman" w:eastAsia="Times New Roman" w:hAnsi="Times New Roman" w:cs="Times New Roman"/>
          <w:i/>
          <w:color w:val="0070C0"/>
          <w:sz w:val="28"/>
          <w:szCs w:val="28"/>
        </w:rPr>
      </w:pPr>
      <w:r w:rsidRPr="000920B8">
        <w:rPr>
          <w:rFonts w:eastAsia="Times New Roman"/>
          <w:b/>
          <w:iCs/>
          <w:color w:val="0070C0"/>
          <w:sz w:val="28"/>
          <w:szCs w:val="28"/>
        </w:rPr>
        <w:t xml:space="preserve">Realisation - </w:t>
      </w:r>
      <w:r w:rsidRPr="000920B8">
        <w:rPr>
          <w:rFonts w:eastAsia="Times New Roman"/>
          <w:i/>
          <w:iCs/>
          <w:color w:val="0070C0"/>
          <w:sz w:val="28"/>
          <w:szCs w:val="28"/>
        </w:rPr>
        <w:t>How the learner demonstrates they can control or change a stimulus or activity</w:t>
      </w:r>
      <w:r w:rsidR="00807EAC">
        <w:rPr>
          <w:rFonts w:eastAsia="Times New Roman"/>
          <w:i/>
          <w:iCs/>
          <w:color w:val="0070C0"/>
          <w:sz w:val="28"/>
          <w:szCs w:val="28"/>
        </w:rPr>
        <w:t xml:space="preserve">. They might become excited if they press a switch and something happens or they make marks in paint. </w:t>
      </w:r>
    </w:p>
    <w:p w14:paraId="0C5470A4" w14:textId="77777777" w:rsidR="000920B8" w:rsidRPr="000920B8" w:rsidRDefault="000920B8" w:rsidP="000920B8">
      <w:pPr>
        <w:spacing w:line="240" w:lineRule="auto"/>
        <w:jc w:val="both"/>
        <w:rPr>
          <w:rFonts w:ascii="Times New Roman" w:eastAsia="Times New Roman" w:hAnsi="Times New Roman" w:cs="Times New Roman"/>
          <w:color w:val="7030A0"/>
          <w:sz w:val="28"/>
          <w:szCs w:val="28"/>
        </w:rPr>
      </w:pPr>
      <w:r w:rsidRPr="000920B8">
        <w:rPr>
          <w:rFonts w:eastAsia="Times New Roman"/>
          <w:b/>
          <w:bCs/>
          <w:color w:val="7030A0"/>
          <w:sz w:val="28"/>
          <w:szCs w:val="28"/>
        </w:rPr>
        <w:t xml:space="preserve">Anticipation - </w:t>
      </w:r>
      <w:r w:rsidRPr="000920B8">
        <w:rPr>
          <w:rFonts w:eastAsia="Times New Roman"/>
          <w:i/>
          <w:iCs/>
          <w:color w:val="7030A0"/>
          <w:sz w:val="28"/>
          <w:szCs w:val="28"/>
        </w:rPr>
        <w:t xml:space="preserve">How the learner shows anticipation. </w:t>
      </w:r>
      <w:r w:rsidR="00807EAC">
        <w:rPr>
          <w:rFonts w:eastAsia="Times New Roman"/>
          <w:i/>
          <w:iCs/>
          <w:color w:val="7030A0"/>
          <w:sz w:val="28"/>
          <w:szCs w:val="28"/>
        </w:rPr>
        <w:t xml:space="preserve">They might still as staff say “ready, steady…” or smile and laugh on seeing a favourite toy or activity. </w:t>
      </w:r>
    </w:p>
    <w:p w14:paraId="1E71F722" w14:textId="77777777" w:rsidR="000920B8" w:rsidRPr="000920B8" w:rsidRDefault="000920B8" w:rsidP="000920B8">
      <w:pPr>
        <w:spacing w:line="240" w:lineRule="auto"/>
        <w:jc w:val="both"/>
        <w:rPr>
          <w:rFonts w:ascii="Times New Roman" w:eastAsia="Times New Roman" w:hAnsi="Times New Roman" w:cs="Times New Roman"/>
          <w:color w:val="00B050"/>
          <w:sz w:val="28"/>
          <w:szCs w:val="28"/>
        </w:rPr>
      </w:pPr>
      <w:r w:rsidRPr="000920B8">
        <w:rPr>
          <w:rFonts w:eastAsia="Times New Roman"/>
          <w:b/>
          <w:bCs/>
          <w:color w:val="00B050"/>
          <w:sz w:val="28"/>
          <w:szCs w:val="28"/>
        </w:rPr>
        <w:t xml:space="preserve">Persistence </w:t>
      </w:r>
      <w:r w:rsidRPr="000920B8">
        <w:rPr>
          <w:rFonts w:eastAsia="Times New Roman"/>
          <w:i/>
          <w:iCs/>
          <w:color w:val="00B050"/>
          <w:sz w:val="28"/>
          <w:szCs w:val="28"/>
        </w:rPr>
        <w:t>How the learner demonstrates continued effort within the activity</w:t>
      </w:r>
      <w:r w:rsidR="00807EAC">
        <w:rPr>
          <w:rFonts w:eastAsia="Times New Roman"/>
          <w:i/>
          <w:iCs/>
          <w:color w:val="00B050"/>
          <w:sz w:val="28"/>
          <w:szCs w:val="28"/>
        </w:rPr>
        <w:t xml:space="preserve">. They might persist in vocalising to attract attention or try and maintain their head position to look at something. </w:t>
      </w:r>
    </w:p>
    <w:p w14:paraId="15229377" w14:textId="77777777" w:rsidR="000920B8" w:rsidRPr="000920B8" w:rsidRDefault="000920B8" w:rsidP="000920B8">
      <w:pPr>
        <w:jc w:val="both"/>
        <w:rPr>
          <w:rFonts w:eastAsia="Times New Roman"/>
          <w:i/>
          <w:iCs/>
          <w:color w:val="FFC000"/>
          <w:sz w:val="28"/>
          <w:szCs w:val="28"/>
        </w:rPr>
      </w:pPr>
      <w:r w:rsidRPr="000920B8">
        <w:rPr>
          <w:rFonts w:eastAsia="Times New Roman"/>
          <w:b/>
          <w:bCs/>
          <w:color w:val="FFC000"/>
          <w:sz w:val="28"/>
          <w:szCs w:val="28"/>
        </w:rPr>
        <w:t xml:space="preserve">Initiation </w:t>
      </w:r>
      <w:r w:rsidRPr="000920B8">
        <w:rPr>
          <w:rFonts w:eastAsia="Times New Roman"/>
          <w:i/>
          <w:iCs/>
          <w:color w:val="FFC000"/>
          <w:sz w:val="28"/>
          <w:szCs w:val="28"/>
        </w:rPr>
        <w:t>How the learner requests an activity or does something new in the activity</w:t>
      </w:r>
      <w:r w:rsidR="00807EAC">
        <w:rPr>
          <w:rFonts w:eastAsia="Times New Roman"/>
          <w:i/>
          <w:iCs/>
          <w:color w:val="FFC000"/>
          <w:sz w:val="28"/>
          <w:szCs w:val="28"/>
        </w:rPr>
        <w:t xml:space="preserve">. They might reach out, vocalise or make eye contact. </w:t>
      </w:r>
    </w:p>
    <w:p w14:paraId="6A7FFADE" w14:textId="77777777" w:rsidR="000920B8" w:rsidRDefault="000920B8" w:rsidP="000920B8">
      <w:pPr>
        <w:jc w:val="both"/>
        <w:rPr>
          <w:sz w:val="28"/>
        </w:rPr>
      </w:pPr>
      <w:r>
        <w:rPr>
          <w:sz w:val="28"/>
        </w:rPr>
        <w:t xml:space="preserve">Each learner has an Engagement Profile – this describes what engagement looks like for each child in the five areas above. This Engagement Profile is used by all staff working with the student and allows new behaviours and small steps of progress to be quickly spotted. Using the Engagement Model allows us to have a common language in school around learning and progress. </w:t>
      </w:r>
    </w:p>
    <w:p w14:paraId="4AC81128" w14:textId="77777777" w:rsidR="00807EAC" w:rsidRDefault="00807EAC" w:rsidP="000920B8">
      <w:pPr>
        <w:jc w:val="both"/>
        <w:rPr>
          <w:sz w:val="28"/>
        </w:rPr>
      </w:pPr>
      <w:r>
        <w:rPr>
          <w:sz w:val="28"/>
        </w:rPr>
        <w:t xml:space="preserve">The Engagement Model does not have set targets or stages that the learners must progress through, we will continue to use iASEND and Education, Health and Care Plan targets for formal assessment. The Engagement Model supports ongoing assessment by focussing on the child as an individual and looking at their own learning journey. All of our students are unique and the Engagement Model allows us to monitor their small steps of progress across the five areas – there is no set route or criteria they have to meet to progress. Each day, our staff teams reflect on how the students have demonstrated their engagement that day, this is then built upon to increase opportunities for engagement the following day. </w:t>
      </w:r>
    </w:p>
    <w:p w14:paraId="784704B1" w14:textId="77777777" w:rsidR="00807EAC" w:rsidRPr="000920B8" w:rsidRDefault="00807EAC" w:rsidP="000920B8">
      <w:pPr>
        <w:jc w:val="both"/>
        <w:rPr>
          <w:sz w:val="28"/>
        </w:rPr>
      </w:pPr>
      <w:r>
        <w:rPr>
          <w:sz w:val="28"/>
        </w:rPr>
        <w:t>The more opportunities there are to engage = the more chances we have to learn!</w:t>
      </w:r>
    </w:p>
    <w:sectPr w:rsidR="00807EAC" w:rsidRPr="000920B8" w:rsidSect="00B70D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B8"/>
    <w:rsid w:val="000920B8"/>
    <w:rsid w:val="00163E18"/>
    <w:rsid w:val="006F5FCD"/>
    <w:rsid w:val="00807EAC"/>
    <w:rsid w:val="00B70D11"/>
    <w:rsid w:val="00C0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2E86"/>
  <w15:docId w15:val="{1E0002E1-26F3-4709-B708-4DF7B74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B8"/>
    <w:rPr>
      <w:rFonts w:ascii="Calibri" w:eastAsia="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Field</dc:creator>
  <cp:lastModifiedBy>Ros Field</cp:lastModifiedBy>
  <cp:revision>2</cp:revision>
  <dcterms:created xsi:type="dcterms:W3CDTF">2022-05-09T11:08:00Z</dcterms:created>
  <dcterms:modified xsi:type="dcterms:W3CDTF">2022-05-09T11:08:00Z</dcterms:modified>
</cp:coreProperties>
</file>