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0628" w:rsidRDefault="00640628">
      <w:bookmarkStart w:id="0" w:name="_GoBack"/>
      <w:bookmarkEnd w:id="0"/>
    </w:p>
    <w:p w:rsidR="00640628" w:rsidRDefault="00F92A10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4181475</wp:posOffset>
            </wp:positionH>
            <wp:positionV relativeFrom="paragraph">
              <wp:posOffset>89488</wp:posOffset>
            </wp:positionV>
            <wp:extent cx="691549" cy="749663"/>
            <wp:effectExtent l="0" t="0" r="0" b="0"/>
            <wp:wrapSquare wrapText="bothSides" distT="0" distB="0" distL="114300" distR="114300"/>
            <wp:docPr id="1" name="image1.png" descr="https://lh4.googleusercontent.com/8M1-j5Dfmn1FP8_fsmS8sL7laKBVa0X1xRQy65SzXO0uzUDuWhNYoXW60Ufhh0Du7uEFaydK9H_f91qahpXS5U_l_CLH4PXt1ZiwYAMdRAV_AAl2uwaNNYiTjyM0xHY9Zf6HJwU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8M1-j5Dfmn1FP8_fsmS8sL7laKBVa0X1xRQy65SzXO0uzUDuWhNYoXW60Ufhh0Du7uEFaydK9H_f91qahpXS5U_l_CLH4PXt1ZiwYAMdRAV_AAl2uwaNNYiTjyM0xHY9Zf6HJwU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549" cy="74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0628" w:rsidRDefault="00640628"/>
    <w:p w:rsidR="00640628" w:rsidRDefault="00640628"/>
    <w:p w:rsidR="00640628" w:rsidRDefault="00640628"/>
    <w:p w:rsidR="00640628" w:rsidRDefault="00640628"/>
    <w:p w:rsidR="00640628" w:rsidRDefault="00640628">
      <w:pPr>
        <w:tabs>
          <w:tab w:val="center" w:pos="4320"/>
          <w:tab w:val="right" w:pos="8640"/>
        </w:tabs>
        <w:spacing w:after="200"/>
      </w:pPr>
    </w:p>
    <w:tbl>
      <w:tblPr>
        <w:tblStyle w:val="a"/>
        <w:tblW w:w="1479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000"/>
        <w:gridCol w:w="3000"/>
        <w:gridCol w:w="3000"/>
        <w:gridCol w:w="2670"/>
      </w:tblGrid>
      <w:tr w:rsidR="00640628">
        <w:trPr>
          <w:trHeight w:val="420"/>
        </w:trPr>
        <w:tc>
          <w:tcPr>
            <w:tcW w:w="14790" w:type="dxa"/>
            <w:gridSpan w:val="5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Hedworthfield Primary Sport Premium Plan</w:t>
            </w:r>
          </w:p>
        </w:tc>
      </w:tr>
      <w:tr w:rsidR="00640628">
        <w:trPr>
          <w:trHeight w:val="44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</w:pPr>
            <w:r>
              <w:t xml:space="preserve">Sport Premium Funding: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</w:pPr>
            <w:r>
              <w:t>£17, 640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</w:pPr>
            <w:r>
              <w:t>Date of Plan: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</w:pPr>
            <w:r>
              <w:t>Mid review: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</w:pPr>
            <w:r>
              <w:t>Final review:</w:t>
            </w:r>
          </w:p>
        </w:tc>
      </w:tr>
      <w:tr w:rsidR="0064062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</w:pPr>
            <w:r>
              <w:t>Unspent carried forward: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</w:pPr>
            <w:r>
              <w:t>£0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</w:pPr>
            <w:r>
              <w:t>September 22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</w:pPr>
            <w:r>
              <w:t>February 23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</w:pPr>
            <w:r>
              <w:t>June 23</w:t>
            </w:r>
          </w:p>
        </w:tc>
      </w:tr>
    </w:tbl>
    <w:p w:rsidR="00640628" w:rsidRDefault="00640628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48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8"/>
        <w:gridCol w:w="2794"/>
        <w:gridCol w:w="3165"/>
        <w:gridCol w:w="2550"/>
        <w:gridCol w:w="2760"/>
        <w:gridCol w:w="2265"/>
      </w:tblGrid>
      <w:tr w:rsidR="00640628">
        <w:trPr>
          <w:trHeight w:val="760"/>
        </w:trPr>
        <w:tc>
          <w:tcPr>
            <w:tcW w:w="14802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Key indicator 1: </w:t>
            </w:r>
          </w:p>
        </w:tc>
      </w:tr>
      <w:tr w:rsidR="00640628">
        <w:trPr>
          <w:trHeight w:val="660"/>
        </w:trPr>
        <w:tc>
          <w:tcPr>
            <w:tcW w:w="12537" w:type="dxa"/>
            <w:gridSpan w:val="5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engagement of all pupils in regular physical activity: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Chief Medical Officer guidelines recommend that primary school children undertake at least 30 minutes of physical activity a day in school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Percentage of total allocation: 15%</w:t>
            </w:r>
          </w:p>
        </w:tc>
      </w:tr>
      <w:tr w:rsidR="00640628">
        <w:trPr>
          <w:trHeight w:val="320"/>
        </w:trPr>
        <w:tc>
          <w:tcPr>
            <w:tcW w:w="12537" w:type="dxa"/>
            <w:gridSpan w:val="5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600"/>
        </w:trPr>
        <w:tc>
          <w:tcPr>
            <w:tcW w:w="12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Funding allocated: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Key focus achieved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School focus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Actions to achieve: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Evidence and impact: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Sustainability and suggested next steps mid review to be completed Feb 2023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Final review July 2023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640628">
        <w:trPr>
          <w:trHeight w:val="920"/>
        </w:trPr>
        <w:tc>
          <w:tcPr>
            <w:tcW w:w="1268" w:type="dxa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PP funded 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£400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t>Providing targeted activities or support to involve and encourage the least active children</w:t>
            </w:r>
          </w:p>
          <w:p w:rsidR="00640628" w:rsidRDefault="00F92A10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lastRenderedPageBreak/>
              <w:t>Establishing, extending or funding attendance of school sport clubs and activities and holiday clubs, or broadening the variety offered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  <w:color w:val="0B0C0C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Active breakfast club. Incr</w:t>
            </w:r>
            <w:r>
              <w:rPr>
                <w:rFonts w:ascii="Calibri" w:eastAsia="Calibri" w:hAnsi="Calibri" w:cs="Calibri"/>
              </w:rPr>
              <w:t xml:space="preserve">easing pre-school activity for children. 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Coached access to free sports each morning. 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Resources are replenished annually. 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To Start by the end of September 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All year groups from  reception to 6 have access to a fully resourced  coached breakfast club. 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% of pupils attending from each year group is at least 20%.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920"/>
        </w:trPr>
        <w:tc>
          <w:tcPr>
            <w:tcW w:w="1268" w:type="dxa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£371.67 (Supervision)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B0C0C"/>
              </w:rPr>
              <w:t>Adopting an active mile initiative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Daily Mile- 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KS1 12:45 - 1.00pm each day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KS2 12:45 - 1:00pm each day children and adults run or walk 1 mile.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 supervisor supports all children to complete 3 laps of school field.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 of pupils completing a mile per day MOST days (excluding short absences)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920"/>
        </w:trPr>
        <w:tc>
          <w:tcPr>
            <w:tcW w:w="1268" w:type="dxa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t>Providing targeted activities or support to involve and encourage the least active children</w:t>
            </w:r>
          </w:p>
          <w:p w:rsidR="00640628" w:rsidRDefault="00640628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</w:p>
          <w:p w:rsidR="00640628" w:rsidRDefault="00640628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Additional fitness session weekly for all children 30 minutes </w:t>
            </w:r>
          </w:p>
        </w:tc>
        <w:tc>
          <w:tcPr>
            <w:tcW w:w="2550" w:type="dxa"/>
            <w:tcBorders>
              <w:top w:val="nil"/>
              <w:left w:val="nil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Fitness measured before and after a 6 week block to see improvement in fitness of all children.  </w:t>
            </w:r>
          </w:p>
          <w:p w:rsidR="00640628" w:rsidRDefault="00F92A10">
            <w:pPr>
              <w:spacing w:after="200"/>
              <w:rPr>
                <w:color w:val="14376C"/>
                <w:sz w:val="17"/>
                <w:szCs w:val="17"/>
              </w:rPr>
            </w:pPr>
            <w:r>
              <w:rPr>
                <w:rFonts w:ascii="Calibri" w:eastAsia="Calibri" w:hAnsi="Calibri" w:cs="Calibri"/>
              </w:rPr>
              <w:t xml:space="preserve">For the general health, wellbeing and academic performance of all children. 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100% of pupils have an improved fitness level.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920"/>
        </w:trPr>
        <w:tc>
          <w:tcPr>
            <w:tcW w:w="1268" w:type="dxa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£1,950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t>Establishing, extending or funding attendance of school sport clubs and activities and holiday clubs, or broadening the variety offered</w:t>
            </w:r>
          </w:p>
          <w:p w:rsidR="00640628" w:rsidRDefault="00640628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Additional fitness clubs linked to female and male role models coached by professional coaches weekly.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fitness focus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gymnastics focus</w:t>
            </w:r>
          </w:p>
        </w:tc>
        <w:tc>
          <w:tcPr>
            <w:tcW w:w="2550" w:type="dxa"/>
            <w:tcBorders>
              <w:top w:val="nil"/>
              <w:left w:val="nil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Female role model used to encourage girls into sport. Research carried out by  Marrianne Mieir for researchgate identifies the impact a positive gender based role model in sport can be </w:t>
            </w:r>
            <w:r>
              <w:rPr>
                <w:rFonts w:ascii="Calibri" w:eastAsia="Calibri" w:hAnsi="Calibri" w:cs="Calibri"/>
              </w:rPr>
              <w:lastRenderedPageBreak/>
              <w:t>to the engagement of more people into sport itself. A recent study repo</w:t>
            </w:r>
            <w:r>
              <w:rPr>
                <w:rFonts w:ascii="Calibri" w:eastAsia="Calibri" w:hAnsi="Calibri" w:cs="Calibri"/>
              </w:rPr>
              <w:t xml:space="preserve">rted by the NHS in Nov 2019 found girls and those overweight did significantly less physical movement than other children.  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https://www.nhs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.uk/news/lifestyle-and-exercise/children-become-less-active-between-age-5-and-11/</w:t>
              </w:r>
            </w:hyperlink>
          </w:p>
          <w:p w:rsidR="00640628" w:rsidRDefault="00F92A1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Research carried out by </w:t>
            </w:r>
            <w:hyperlink r:id="rId6">
              <w:r>
                <w:rPr>
                  <w:color w:val="14376C"/>
                  <w:sz w:val="17"/>
                  <w:szCs w:val="17"/>
                  <w:u w:val="single"/>
                </w:rPr>
                <w:t>National Center for Biotechnology Information</w:t>
              </w:r>
            </w:hyperlink>
            <w:r>
              <w:rPr>
                <w:color w:val="14376C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in the US demonstrated a clear link between physical fi</w:t>
            </w:r>
            <w:r>
              <w:rPr>
                <w:rFonts w:ascii="Calibri" w:eastAsia="Calibri" w:hAnsi="Calibri" w:cs="Calibri"/>
              </w:rPr>
              <w:t xml:space="preserve">tness, cognitive development and cognitive function. This further highlights the importance of physical fitness.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100% of pupils have an improved fitness level.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660"/>
        </w:trPr>
        <w:tc>
          <w:tcPr>
            <w:tcW w:w="12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£2,721.67</w:t>
            </w:r>
          </w:p>
        </w:tc>
        <w:tc>
          <w:tcPr>
            <w:tcW w:w="2794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740" w:type="dxa"/>
            <w:gridSpan w:val="4"/>
            <w:tcBorders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40628" w:rsidRDefault="00640628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640628" w:rsidRDefault="00640628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15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1"/>
        <w:gridCol w:w="2920"/>
        <w:gridCol w:w="2920"/>
        <w:gridCol w:w="3105"/>
        <w:gridCol w:w="2025"/>
        <w:gridCol w:w="2895"/>
      </w:tblGrid>
      <w:tr w:rsidR="00640628">
        <w:trPr>
          <w:trHeight w:val="380"/>
        </w:trPr>
        <w:tc>
          <w:tcPr>
            <w:tcW w:w="12300" w:type="dxa"/>
            <w:gridSpan w:val="5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Key indicator 2: The profile of PESSPA being raised across the school as a tool for whole school improvement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Percentage of total allocation:</w:t>
            </w:r>
          </w:p>
        </w:tc>
      </w:tr>
      <w:tr w:rsidR="00640628">
        <w:trPr>
          <w:trHeight w:val="340"/>
        </w:trPr>
        <w:tc>
          <w:tcPr>
            <w:tcW w:w="12300" w:type="dxa"/>
            <w:gridSpan w:val="5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</w:tr>
      <w:tr w:rsidR="00640628">
        <w:trPr>
          <w:trHeight w:val="680"/>
        </w:trPr>
        <w:tc>
          <w:tcPr>
            <w:tcW w:w="13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Funding allocated: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Key focus  achieved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School focus with clarity on intended impact on pupils: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Actions to achieve: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Evidence and impact: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Sustainability and suggested next steps mid review to be completed Feb 2023:</w:t>
            </w:r>
          </w:p>
        </w:tc>
      </w:tr>
      <w:tr w:rsidR="00640628">
        <w:trPr>
          <w:trHeight w:val="1980"/>
        </w:trPr>
        <w:tc>
          <w:tcPr>
            <w:tcW w:w="13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£550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t>Enhance the quality of PE in the school through the delivery of GetSet4PE sessions.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Implement an improved teaching sequence through high quality lesson resources with a focus on Physical activity journey.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 out coverage for all year groups including EYFS.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Liases with school sport partnership to ensure high quality CPD is in line with </w:t>
            </w:r>
            <w:r>
              <w:rPr>
                <w:rFonts w:ascii="Calibri" w:eastAsia="Calibri" w:hAnsi="Calibri" w:cs="Calibri"/>
              </w:rPr>
              <w:t>GetSet programme.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Sustained and deliberate improvement in the teaching of PE.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 quality physical opportunities increased for all year groups.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3183"/>
        </w:trPr>
        <w:tc>
          <w:tcPr>
            <w:tcW w:w="13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£210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B0C0C"/>
              </w:rPr>
              <w:t>Providing staff with professional development, mentoring, appropriate training and resources to help them teach PE and sport more effectively to all pupils, and embed physical activity across your school.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Purchase and complete the youth sport trust membership. 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Self evaluation, Youth sports award and athlete visits to school. 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Complete premium audits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school performance in PESSPA.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further areas for improvement and implement.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Undertake athlet</w:t>
            </w:r>
            <w:r>
              <w:rPr>
                <w:rFonts w:ascii="Calibri" w:eastAsia="Calibri" w:hAnsi="Calibri" w:cs="Calibri"/>
              </w:rPr>
              <w:t>e visit and raise school sport profile during dedicated sports week (sports week).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Profile of sport raised for both children and staff 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Athlete visit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 of year 5/6 compete the youth sport trust award.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40628">
        <w:trPr>
          <w:trHeight w:val="2720"/>
        </w:trPr>
        <w:tc>
          <w:tcPr>
            <w:tcW w:w="13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£159 for course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£585 for staff cover time.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t>Actively encourage pupils to take on leadership or volunteer roles that support the delivery of sport and physical activity within the school (such as ‘sport leader’ or peer-mentoring schemes)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to buy into the sports leaders award. Pupil to complete,</w:t>
            </w:r>
            <w:r>
              <w:rPr>
                <w:rFonts w:ascii="Calibri" w:eastAsia="Calibri" w:hAnsi="Calibri" w:cs="Calibri"/>
              </w:rPr>
              <w:t xml:space="preserve"> award and lead activities at lunch and break.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⅚ pupils to complete the primary sports leaders award.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Staff to attend the staff development section of the membership. 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Sports leaders award complete 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Monitoring showing active engagement on lunch and during break times.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2720"/>
        </w:trPr>
        <w:tc>
          <w:tcPr>
            <w:tcW w:w="13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t>Providing staff with professional development, mentoring, appropriate training and resources to help them teach PE and sport more effectively to all pupils, and embed physical ac</w:t>
            </w:r>
            <w:r>
              <w:rPr>
                <w:rFonts w:ascii="Calibri" w:eastAsia="Calibri" w:hAnsi="Calibri" w:cs="Calibri"/>
                <w:color w:val="0B0C0C"/>
              </w:rPr>
              <w:t>tivity across your school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Dedicatie PE coordination time to monitor standards in PE, provide support and guidance to staff and plan and organise key events.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 lead  to  complete Youth sport Trust monitoring and evaluations and implement improvements, co</w:t>
            </w:r>
            <w:r>
              <w:rPr>
                <w:rFonts w:ascii="Calibri" w:eastAsia="Calibri" w:hAnsi="Calibri" w:cs="Calibri"/>
              </w:rPr>
              <w:t xml:space="preserve">ach and guide staff and ensure quality of PESSPA in school.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Audits will demonstrate an improvement.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2720"/>
        </w:trPr>
        <w:tc>
          <w:tcPr>
            <w:tcW w:w="13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£2800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t>South Tyneside School Sport Membership.</w:t>
            </w:r>
          </w:p>
          <w:p w:rsidR="00640628" w:rsidRDefault="00F92A10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t>Equips PE subject lead programme with knowledge and insight to develop PE within our setting.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 staff with professional development, mentoring, training and resources.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Staff support will support effective teaching and further embed physical activity across our school.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 lead to complete partnership application.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 lead to map out training events/mentoring opportunities for the academic year.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 improvements and physical activity developments.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 of staff receive CPD.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Audits will demonstrate an improvement.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840"/>
        </w:trPr>
        <w:tc>
          <w:tcPr>
            <w:tcW w:w="13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£ 4454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45" w:type="dxa"/>
            <w:gridSpan w:val="4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40628" w:rsidRDefault="00640628">
      <w:pPr>
        <w:spacing w:after="200"/>
        <w:rPr>
          <w:rFonts w:ascii="Calibri" w:eastAsia="Calibri" w:hAnsi="Calibri" w:cs="Calibri"/>
        </w:rPr>
      </w:pPr>
    </w:p>
    <w:p w:rsidR="00640628" w:rsidRDefault="00640628">
      <w:pPr>
        <w:spacing w:after="200"/>
        <w:rPr>
          <w:rFonts w:ascii="Calibri" w:eastAsia="Calibri" w:hAnsi="Calibri" w:cs="Calibri"/>
        </w:rPr>
      </w:pPr>
    </w:p>
    <w:p w:rsidR="00640628" w:rsidRDefault="00640628">
      <w:pPr>
        <w:spacing w:after="200"/>
        <w:rPr>
          <w:rFonts w:ascii="Calibri" w:eastAsia="Calibri" w:hAnsi="Calibri" w:cs="Calibri"/>
        </w:rPr>
      </w:pPr>
    </w:p>
    <w:p w:rsidR="00640628" w:rsidRDefault="00640628">
      <w:pPr>
        <w:spacing w:after="200"/>
        <w:rPr>
          <w:rFonts w:ascii="Calibri" w:eastAsia="Calibri" w:hAnsi="Calibri" w:cs="Calibri"/>
        </w:rPr>
      </w:pPr>
    </w:p>
    <w:tbl>
      <w:tblPr>
        <w:tblStyle w:val="a2"/>
        <w:tblW w:w="152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27"/>
        <w:gridCol w:w="3103"/>
        <w:gridCol w:w="3103"/>
        <w:gridCol w:w="1867"/>
        <w:gridCol w:w="2471"/>
        <w:gridCol w:w="1874"/>
        <w:gridCol w:w="1253"/>
      </w:tblGrid>
      <w:tr w:rsidR="00640628">
        <w:trPr>
          <w:trHeight w:val="500"/>
        </w:trPr>
        <w:tc>
          <w:tcPr>
            <w:tcW w:w="0" w:type="auto"/>
            <w:gridSpan w:val="5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Key indicator 3: Increased confidence, knowledge and skills of all staff in teaching PE and sport</w:t>
            </w:r>
          </w:p>
        </w:tc>
        <w:tc>
          <w:tcPr>
            <w:tcW w:w="0" w:type="auto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Percentage of total allocation: </w:t>
            </w:r>
          </w:p>
        </w:tc>
        <w:tc>
          <w:tcPr>
            <w:tcW w:w="0" w:type="auto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39%</w:t>
            </w:r>
          </w:p>
        </w:tc>
      </w:tr>
      <w:tr w:rsidR="00640628">
        <w:trPr>
          <w:trHeight w:val="480"/>
        </w:trPr>
        <w:tc>
          <w:tcPr>
            <w:tcW w:w="0" w:type="auto"/>
            <w:gridSpan w:val="5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920"/>
        </w:trPr>
        <w:tc>
          <w:tcPr>
            <w:tcW w:w="0" w:type="auto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Funding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allocated: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Key focus achieved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School focus with clarity on intended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impact on pupils: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Actions to achieve: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Evidence and impact: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Sustainability and suggested next steps mid review to be completed Feb 2023: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School Sports membership (included above)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£1634.33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t>Providing staff with professional development, mentoring, appropriate training and resources to help them teach PE and sport more effectively to all pupils, and embed physical activity across your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  <w:color w:val="0B0C0C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t>Resources audit 1st October 2022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t xml:space="preserve"> 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t xml:space="preserve">Resources purchased and in use by mid October.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Purchase of new equipment to facilitate sporting activities during PE sessions / GetSet lessons.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Audit of all equipment to ensure safety and quality. Continue to use newly purchased equipment to enhance c</w:t>
            </w:r>
            <w:r>
              <w:rPr>
                <w:rFonts w:ascii="Calibri" w:eastAsia="Calibri" w:hAnsi="Calibri" w:cs="Calibri"/>
              </w:rPr>
              <w:t>hildren’s opportunity.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 to improve equipment and ensure phase set (where appropriate) for each part of the curriculum (timetable in place where equipment needs to be shared). Equipment also to support extra-curricular sporting clubs.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Increased p</w:t>
            </w:r>
            <w:r>
              <w:rPr>
                <w:rFonts w:ascii="Calibri" w:eastAsia="Calibri" w:hAnsi="Calibri" w:cs="Calibri"/>
              </w:rPr>
              <w:t xml:space="preserve">rofile of sports at school and subsequent increased pupil participation. 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£0 (KI1 budget)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t>Providing targeted activities or support to involve and encourage the least active children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Each class receives a 30 minute fitness session.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sport partnership - getting active workshop. Attend Teach active workshops to further embed physical activity into the school day including; active travelling, active playgrounds and active teaching.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Organisation of playground equipment.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Timetable active gym.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Active travel weeks.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Children's fitness increases as measured by child health screening- childhood obesity levels.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£2,835 Sports Coach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£2,345.50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Gymnastics Coach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t>Hiring qualified sports coaches and PE specialists to work alongside teachers to enhance or extend current opportunities offered to pupils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year groups receive qualified coach gymnastics instruction to improve the quality of teaching in this specific a</w:t>
            </w:r>
            <w:r>
              <w:rPr>
                <w:rFonts w:ascii="Calibri" w:eastAsia="Calibri" w:hAnsi="Calibri" w:cs="Calibri"/>
              </w:rPr>
              <w:t xml:space="preserve">rea of PE. Staff develop increased knowledge and skill in the field of gymnastics with bespoke staff training in gymnastics.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staff receive training in Gymnastics and receive supported delivery sessions to implement learning.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confidence increase</w:t>
            </w:r>
            <w:r>
              <w:rPr>
                <w:rFonts w:ascii="Calibri" w:eastAsia="Calibri" w:hAnsi="Calibri" w:cs="Calibri"/>
              </w:rPr>
              <w:t xml:space="preserve">d. 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feel reassured to deliver gymnastics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Gymnastics is taught to a professional standard.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School Sports membership (included above)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t>South Tyneside School Sport Membership.</w:t>
            </w:r>
          </w:p>
          <w:p w:rsidR="00640628" w:rsidRDefault="00F92A10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t xml:space="preserve">Membership provides high quality workshops for all members of staff over the course of the year.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staff will receive at least 1 workshop CPD in order to make sustainable improvements to the quality of PE we offer.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 lead to map out CPD sessions for all staff.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Key Stage specific workshops attended by appropriate staff.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confidence increased.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Sustainable and marked improvement in quality of PE teaching.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500"/>
        </w:trPr>
        <w:tc>
          <w:tcPr>
            <w:tcW w:w="0" w:type="auto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£6,814.83</w:t>
            </w:r>
          </w:p>
        </w:tc>
        <w:tc>
          <w:tcPr>
            <w:tcW w:w="0" w:type="auto"/>
            <w:tcBorders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500"/>
        </w:trPr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Key indicator 4: Broader experience of a range of sports and activities offered to all pupils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Percentage of total allocation: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9%</w:t>
            </w:r>
          </w:p>
        </w:tc>
      </w:tr>
      <w:tr w:rsidR="00640628">
        <w:trPr>
          <w:trHeight w:val="50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Funding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allocated: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Key focus achieved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focus with clarity on intended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impact on pupils: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Actions to achieve: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Evidence and impact: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Sustainability and suggested next steps mid review to be completed Feb 2023: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2040"/>
        </w:trPr>
        <w:tc>
          <w:tcPr>
            <w:tcW w:w="0" w:type="auto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£500 Sports week coaches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t>Introducing a new range of sports and physical activities (such as dance, yoga or fitness sessions) to encourage more pupils to take up sport and physical activities</w:t>
            </w:r>
          </w:p>
          <w:p w:rsidR="00640628" w:rsidRDefault="00640628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Sports week will provide additional  access to a range of sporting opportunities including rugby, archery, basketball and  coached dance.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PE lead to secure the organisation of sports week.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All children participate in sports week.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 least 80% of pupils</w:t>
            </w:r>
            <w:r>
              <w:rPr>
                <w:rFonts w:ascii="Calibri" w:eastAsia="Calibri" w:hAnsi="Calibri" w:cs="Calibri"/>
              </w:rPr>
              <w:t xml:space="preserve"> view sport positively. 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2040"/>
        </w:trPr>
        <w:tc>
          <w:tcPr>
            <w:tcW w:w="0" w:type="auto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£1,149.5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t>Establishing, extending or funding attendance of school sport clubs and activities and holiday clubs, or broadening the variety offered</w:t>
            </w:r>
          </w:p>
          <w:p w:rsidR="00640628" w:rsidRDefault="00640628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Additional fitness clubs linked to female and male role models coached by professional coaches weekly.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 lead to organise an after school club to broaden the opportunities for all school clubs.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Children from each key stage to be provided with an after school club opportunity.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2040"/>
        </w:trPr>
        <w:tc>
          <w:tcPr>
            <w:tcW w:w="0" w:type="auto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School Sports membership (included above)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t>School Sport Partnership - embed structured programme of in school coaching support to enhance the quality and range of coverage provided. 12 hours received as part of partnership.</w:t>
            </w:r>
          </w:p>
          <w:p w:rsidR="00640628" w:rsidRDefault="00640628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Children further exposed to a range of high quality physical activity inc</w:t>
            </w:r>
            <w:r>
              <w:rPr>
                <w:rFonts w:ascii="Calibri" w:eastAsia="Calibri" w:hAnsi="Calibri" w:cs="Calibri"/>
              </w:rPr>
              <w:t>luding; Tag Rugby, Athletics, Cheerleading, gymnastics, tennis, OAA and cricket.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 lead to map out coaching in line with Getset coverage.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Improved and sustained delivery of a range of Physical opportunities.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720"/>
        </w:trPr>
        <w:tc>
          <w:tcPr>
            <w:tcW w:w="0" w:type="auto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400"/>
        </w:trPr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Key Indicator 5: </w:t>
            </w:r>
            <w:r>
              <w:rPr>
                <w:rFonts w:ascii="Calibri" w:eastAsia="Calibri" w:hAnsi="Calibri" w:cs="Calibri"/>
              </w:rPr>
              <w:t>Increased participation in competitive 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Percentage of total allocation: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12%</w:t>
            </w:r>
          </w:p>
        </w:tc>
      </w:tr>
      <w:tr w:rsidR="00640628">
        <w:trPr>
          <w:trHeight w:val="50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960"/>
        </w:trPr>
        <w:tc>
          <w:tcPr>
            <w:tcW w:w="0" w:type="auto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Funding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allocated: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Key focus achieved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focus with clarity on intended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impact on pupils: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Actions to achieve: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Evidence and impact: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Sustainability and suggested next steps mid review to be completed Feb 2023: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1480"/>
        </w:trPr>
        <w:tc>
          <w:tcPr>
            <w:tcW w:w="0" w:type="auto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School Sports membership (included above)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£2000 Transport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hd w:val="clear" w:color="auto" w:fill="FFFFFF"/>
              <w:spacing w:before="240"/>
              <w:rPr>
                <w:rFonts w:ascii="Calibri" w:eastAsia="Calibri" w:hAnsi="Calibri" w:cs="Calibri"/>
                <w:color w:val="1D70B8"/>
                <w:u w:val="single"/>
              </w:rPr>
            </w:pPr>
            <w:r>
              <w:rPr>
                <w:rFonts w:ascii="Calibri" w:eastAsia="Calibri" w:hAnsi="Calibri" w:cs="Calibri"/>
                <w:color w:val="0B0C0C"/>
              </w:rPr>
              <w:t xml:space="preserve">Increasing and actively encouraging pupils’ participation in the </w:t>
            </w:r>
            <w:hyperlink r:id="rId7">
              <w:r>
                <w:rPr>
                  <w:rFonts w:ascii="Calibri" w:eastAsia="Calibri" w:hAnsi="Calibri" w:cs="Calibri"/>
                  <w:color w:val="1D70B8"/>
                  <w:u w:val="single"/>
                </w:rPr>
                <w:t>School Games</w:t>
              </w:r>
            </w:hyperlink>
          </w:p>
          <w:p w:rsidR="00640628" w:rsidRDefault="00F92A10">
            <w:pPr>
              <w:shd w:val="clear" w:color="auto" w:fill="FFFFFF"/>
              <w:spacing w:before="240" w:after="80"/>
              <w:rPr>
                <w:rFonts w:ascii="Calibri" w:eastAsia="Calibri" w:hAnsi="Calibri" w:cs="Calibri"/>
                <w:color w:val="0B0C0C"/>
              </w:rPr>
            </w:pPr>
            <w:r>
              <w:rPr>
                <w:rFonts w:ascii="Calibri" w:eastAsia="Calibri" w:hAnsi="Calibri" w:cs="Calibri"/>
                <w:color w:val="0B0C0C"/>
              </w:rPr>
              <w:t>Attendance, coordinating or entering more sport competitions or tournaments within the school or across the local area, including those run by sporting organisations.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Partnership provides programme mapped out for the year 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Each year group in year 1-6  will enter at least 1 competitive event. 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children enter into at least 1 sporting competition annually. 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Every child in our school to have opportunity to participate in competitive sport.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rPr>
                <w:rFonts w:ascii="Calibri" w:eastAsia="Calibri" w:hAnsi="Calibri" w:cs="Calibri"/>
              </w:rPr>
            </w:pPr>
          </w:p>
        </w:tc>
      </w:tr>
      <w:tr w:rsidR="0064062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spend -</w:t>
            </w:r>
          </w:p>
          <w:p w:rsidR="00640628" w:rsidRDefault="00F92A1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£16,580.5</w:t>
            </w:r>
          </w:p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640628">
            <w:pPr>
              <w:rPr>
                <w:rFonts w:ascii="Calibri" w:eastAsia="Calibri" w:hAnsi="Calibri" w:cs="Calibri"/>
              </w:rPr>
            </w:pPr>
          </w:p>
        </w:tc>
      </w:tr>
    </w:tbl>
    <w:p w:rsidR="00640628" w:rsidRDefault="00F92A10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40628" w:rsidRDefault="00640628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640628" w:rsidRDefault="00F92A10">
      <w:pPr>
        <w:shd w:val="clear" w:color="auto" w:fill="FFFFFF"/>
        <w:spacing w:before="600" w:after="680" w:line="315" w:lineRule="auto"/>
        <w:rPr>
          <w:color w:val="0B0C0C"/>
          <w:sz w:val="29"/>
          <w:szCs w:val="29"/>
        </w:rPr>
      </w:pPr>
      <w:r>
        <w:rPr>
          <w:color w:val="0B0C0C"/>
          <w:sz w:val="29"/>
          <w:szCs w:val="29"/>
        </w:rPr>
        <w:t>Impact Summary of 2021-22:</w:t>
      </w:r>
    </w:p>
    <w:p w:rsidR="00640628" w:rsidRDefault="0064062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15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2"/>
        <w:gridCol w:w="1372"/>
        <w:gridCol w:w="1372"/>
        <w:gridCol w:w="1372"/>
        <w:gridCol w:w="1372"/>
        <w:gridCol w:w="1372"/>
        <w:gridCol w:w="1372"/>
        <w:gridCol w:w="1372"/>
        <w:gridCol w:w="1372"/>
        <w:gridCol w:w="1372"/>
        <w:gridCol w:w="1372"/>
      </w:tblGrid>
      <w:tr w:rsidR="00640628">
        <w:tc>
          <w:tcPr>
            <w:tcW w:w="0" w:type="auto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</w:t>
            </w:r>
          </w:p>
        </w:tc>
        <w:tc>
          <w:tcPr>
            <w:tcW w:w="0" w:type="auto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Hours of PE per week</w:t>
            </w:r>
          </w:p>
        </w:tc>
        <w:tc>
          <w:tcPr>
            <w:tcW w:w="0" w:type="auto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Mile a Day</w:t>
            </w:r>
          </w:p>
        </w:tc>
        <w:tc>
          <w:tcPr>
            <w:tcW w:w="0" w:type="auto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Dance</w:t>
            </w:r>
          </w:p>
        </w:tc>
        <w:tc>
          <w:tcPr>
            <w:tcW w:w="0" w:type="auto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Games</w:t>
            </w:r>
          </w:p>
        </w:tc>
        <w:tc>
          <w:tcPr>
            <w:tcW w:w="0" w:type="auto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Gymnastics</w:t>
            </w:r>
          </w:p>
        </w:tc>
        <w:tc>
          <w:tcPr>
            <w:tcW w:w="0" w:type="auto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Athletics</w:t>
            </w:r>
          </w:p>
        </w:tc>
        <w:tc>
          <w:tcPr>
            <w:tcW w:w="0" w:type="auto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Competition</w:t>
            </w:r>
          </w:p>
        </w:tc>
        <w:tc>
          <w:tcPr>
            <w:tcW w:w="0" w:type="auto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 attending after school sports clubs</w:t>
            </w:r>
          </w:p>
        </w:tc>
        <w:tc>
          <w:tcPr>
            <w:tcW w:w="0" w:type="auto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 attending Breakfast sport</w:t>
            </w:r>
          </w:p>
        </w:tc>
        <w:tc>
          <w:tcPr>
            <w:tcW w:w="0" w:type="auto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Swim 25 meters</w:t>
            </w:r>
          </w:p>
        </w:tc>
      </w:tr>
      <w:tr w:rsidR="00640628">
        <w:trPr>
          <w:trHeight w:val="44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Nursery</w:t>
            </w:r>
          </w:p>
        </w:tc>
        <w:tc>
          <w:tcPr>
            <w:tcW w:w="0" w:type="auto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Nursery access physical development as part of the EYFSP through child initiated time 1 hour per day. This provides opportunities to access running, bikes, climbing, jumping, hopping, skipping, ball skills, bat and ball activities, balance and gymnastic sk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ills development. Physical development small group lessons are delivered throughout the curriculum and assessed termly. </w:t>
            </w:r>
          </w:p>
        </w:tc>
      </w:tr>
      <w:tr w:rsidR="0064062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Reception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32%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N/A</w:t>
            </w:r>
          </w:p>
        </w:tc>
      </w:tr>
      <w:tr w:rsidR="0064062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 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N/A</w:t>
            </w:r>
          </w:p>
        </w:tc>
      </w:tr>
      <w:tr w:rsidR="0064062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 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33%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52%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N/A</w:t>
            </w:r>
          </w:p>
        </w:tc>
      </w:tr>
      <w:tr w:rsidR="0064062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 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N/A</w:t>
            </w:r>
          </w:p>
        </w:tc>
      </w:tr>
      <w:tr w:rsidR="0064062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  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44%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72%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0%</w:t>
            </w:r>
          </w:p>
        </w:tc>
      </w:tr>
      <w:tr w:rsidR="0064062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 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42%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54%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46%</w:t>
            </w:r>
          </w:p>
        </w:tc>
      </w:tr>
      <w:tr w:rsidR="0064062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 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41%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628" w:rsidRDefault="00F92A1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68%</w:t>
            </w:r>
          </w:p>
        </w:tc>
      </w:tr>
    </w:tbl>
    <w:p w:rsidR="00640628" w:rsidRDefault="00640628">
      <w:pPr>
        <w:spacing w:line="240" w:lineRule="auto"/>
        <w:jc w:val="center"/>
        <w:rPr>
          <w:color w:val="0B0C0C"/>
          <w:sz w:val="29"/>
          <w:szCs w:val="29"/>
        </w:rPr>
      </w:pPr>
    </w:p>
    <w:p w:rsidR="00640628" w:rsidRDefault="00640628"/>
    <w:sectPr w:rsidR="00640628">
      <w:pgSz w:w="16838" w:h="11906" w:orient="landscape"/>
      <w:pgMar w:top="873" w:right="873" w:bottom="87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28"/>
    <w:rsid w:val="00640628"/>
    <w:rsid w:val="00F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B17EF-1E7A-442B-87DB-7D0EAA19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rschoolgam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" TargetMode="External"/><Relationship Id="rId5" Type="http://schemas.openxmlformats.org/officeDocument/2006/relationships/hyperlink" Target="https://www.nhs.uk/news/lifestyle-and-exercise/children-become-less-active-between-age-5-and-11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G.Jeynes</cp:lastModifiedBy>
  <cp:revision>2</cp:revision>
  <dcterms:created xsi:type="dcterms:W3CDTF">2022-10-10T15:16:00Z</dcterms:created>
  <dcterms:modified xsi:type="dcterms:W3CDTF">2022-10-10T15:16:00Z</dcterms:modified>
</cp:coreProperties>
</file>