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32" w:rsidRDefault="00695032">
      <w:bookmarkStart w:id="0" w:name="_GoBack"/>
      <w:bookmarkEnd w:id="0"/>
    </w:p>
    <w:tbl>
      <w:tblPr>
        <w:tblStyle w:val="a"/>
        <w:tblW w:w="1395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447"/>
        <w:gridCol w:w="1236"/>
        <w:gridCol w:w="3208"/>
        <w:gridCol w:w="1399"/>
        <w:gridCol w:w="4186"/>
        <w:gridCol w:w="1481"/>
      </w:tblGrid>
      <w:tr w:rsidR="00695032">
        <w:trPr>
          <w:trHeight w:val="360"/>
        </w:trPr>
        <w:tc>
          <w:tcPr>
            <w:tcW w:w="13954" w:type="dxa"/>
            <w:gridSpan w:val="6"/>
            <w:tcBorders>
              <w:top w:val="single" w:sz="8" w:space="0" w:color="000000"/>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700" w:hanging="280"/>
              <w:rPr>
                <w:b/>
              </w:rPr>
            </w:pPr>
            <w:r>
              <w:rPr>
                <w:b/>
              </w:rPr>
              <w:t>1.</w:t>
            </w:r>
            <w:r>
              <w:rPr>
                <w:rFonts w:ascii="Times New Roman" w:eastAsia="Times New Roman" w:hAnsi="Times New Roman" w:cs="Times New Roman"/>
                <w:sz w:val="14"/>
                <w:szCs w:val="14"/>
              </w:rPr>
              <w:t xml:space="preserve">   </w:t>
            </w:r>
            <w:r>
              <w:rPr>
                <w:b/>
              </w:rPr>
              <w:t>Summary information</w:t>
            </w:r>
          </w:p>
        </w:tc>
      </w:tr>
      <w:tr w:rsidR="00695032">
        <w:trPr>
          <w:trHeight w:val="360"/>
        </w:trPr>
        <w:tc>
          <w:tcPr>
            <w:tcW w:w="2446"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School</w:t>
            </w:r>
          </w:p>
        </w:tc>
        <w:tc>
          <w:tcPr>
            <w:tcW w:w="11508" w:type="dxa"/>
            <w:gridSpan w:val="5"/>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pPr>
            <w:r>
              <w:t xml:space="preserve"> Hedworthfield Primary School</w:t>
            </w:r>
          </w:p>
        </w:tc>
      </w:tr>
      <w:tr w:rsidR="00695032">
        <w:trPr>
          <w:trHeight w:val="240"/>
        </w:trPr>
        <w:tc>
          <w:tcPr>
            <w:tcW w:w="2446"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Academic Year</w:t>
            </w:r>
          </w:p>
        </w:tc>
        <w:tc>
          <w:tcPr>
            <w:tcW w:w="1236"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pPr>
            <w:r>
              <w:t xml:space="preserve"> 2019-20</w:t>
            </w:r>
          </w:p>
        </w:tc>
        <w:tc>
          <w:tcPr>
            <w:tcW w:w="32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Total PP budget</w:t>
            </w:r>
          </w:p>
        </w:tc>
        <w:tc>
          <w:tcPr>
            <w:tcW w:w="13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highlight w:val="white"/>
              </w:rPr>
            </w:pPr>
            <w:r>
              <w:rPr>
                <w:highlight w:val="white"/>
              </w:rPr>
              <w:t>£136,820</w:t>
            </w:r>
          </w:p>
          <w:p w:rsidR="00695032" w:rsidRDefault="00695032">
            <w:pPr>
              <w:widowControl w:val="0"/>
              <w:pBdr>
                <w:top w:val="nil"/>
                <w:left w:val="nil"/>
                <w:bottom w:val="nil"/>
                <w:right w:val="nil"/>
                <w:between w:val="nil"/>
              </w:pBdr>
              <w:rPr>
                <w:highlight w:val="white"/>
              </w:rPr>
            </w:pPr>
          </w:p>
        </w:tc>
        <w:tc>
          <w:tcPr>
            <w:tcW w:w="4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Date of most recent PP Review</w:t>
            </w:r>
          </w:p>
        </w:tc>
        <w:tc>
          <w:tcPr>
            <w:tcW w:w="14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2015</w:t>
            </w:r>
          </w:p>
        </w:tc>
      </w:tr>
      <w:tr w:rsidR="00695032">
        <w:trPr>
          <w:trHeight w:val="840"/>
        </w:trPr>
        <w:tc>
          <w:tcPr>
            <w:tcW w:w="2446"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Total number of pupils (Sept 19)</w:t>
            </w:r>
          </w:p>
        </w:tc>
        <w:tc>
          <w:tcPr>
            <w:tcW w:w="1236"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highlight w:val="yellow"/>
              </w:rPr>
            </w:pPr>
            <w:r>
              <w:t xml:space="preserve"> 232</w:t>
            </w:r>
          </w:p>
        </w:tc>
        <w:tc>
          <w:tcPr>
            <w:tcW w:w="320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Number of pupils eligible for PP (Sept 19)</w:t>
            </w:r>
          </w:p>
        </w:tc>
        <w:tc>
          <w:tcPr>
            <w:tcW w:w="139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93</w:t>
            </w:r>
          </w:p>
        </w:tc>
        <w:tc>
          <w:tcPr>
            <w:tcW w:w="4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Date for next internal review of this strategy</w:t>
            </w:r>
          </w:p>
        </w:tc>
        <w:tc>
          <w:tcPr>
            <w:tcW w:w="14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February 2020</w:t>
            </w:r>
          </w:p>
        </w:tc>
      </w:tr>
    </w:tbl>
    <w:p w:rsidR="00695032" w:rsidRDefault="00DB4E94">
      <w:pPr>
        <w:rPr>
          <w:sz w:val="16"/>
          <w:szCs w:val="16"/>
        </w:rPr>
      </w:pPr>
      <w:r>
        <w:rPr>
          <w:sz w:val="16"/>
          <w:szCs w:val="16"/>
        </w:rPr>
        <w:t xml:space="preserve"> </w:t>
      </w:r>
    </w:p>
    <w:tbl>
      <w:tblPr>
        <w:tblStyle w:val="a0"/>
        <w:tblW w:w="139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106"/>
        <w:gridCol w:w="1992"/>
        <w:gridCol w:w="1992"/>
        <w:gridCol w:w="1992"/>
        <w:gridCol w:w="2868"/>
      </w:tblGrid>
      <w:tr w:rsidR="00695032">
        <w:trPr>
          <w:trHeight w:val="360"/>
        </w:trPr>
        <w:tc>
          <w:tcPr>
            <w:tcW w:w="13947" w:type="dxa"/>
            <w:gridSpan w:val="5"/>
            <w:tcBorders>
              <w:top w:val="single" w:sz="8" w:space="0" w:color="000000"/>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700" w:hanging="280"/>
              <w:rPr>
                <w:b/>
              </w:rPr>
            </w:pPr>
            <w:r>
              <w:rPr>
                <w:b/>
              </w:rPr>
              <w:t>2.</w:t>
            </w:r>
            <w:r>
              <w:rPr>
                <w:rFonts w:ascii="Times New Roman" w:eastAsia="Times New Roman" w:hAnsi="Times New Roman" w:cs="Times New Roman"/>
                <w:sz w:val="14"/>
                <w:szCs w:val="14"/>
              </w:rPr>
              <w:t xml:space="preserve">   </w:t>
            </w:r>
            <w:r>
              <w:rPr>
                <w:b/>
              </w:rPr>
              <w:t>Current attainment 2017-18 summary</w:t>
            </w:r>
          </w:p>
        </w:tc>
      </w:tr>
      <w:tr w:rsidR="00695032">
        <w:trPr>
          <w:trHeight w:val="360"/>
        </w:trPr>
        <w:tc>
          <w:tcPr>
            <w:tcW w:w="5104"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pPr>
            <w:r>
              <w:t xml:space="preserve"> KS2 ( pupils) </w:t>
            </w:r>
          </w:p>
        </w:tc>
        <w:tc>
          <w:tcPr>
            <w:tcW w:w="1992" w:type="dxa"/>
            <w:tcBorders>
              <w:top w:val="nil"/>
              <w:left w:val="nil"/>
              <w:bottom w:val="single" w:sz="8" w:space="0" w:color="000000"/>
              <w:right w:val="single" w:sz="8" w:space="0" w:color="000000"/>
            </w:tcBorders>
            <w:shd w:val="clear" w:color="auto" w:fill="FFFFFF"/>
            <w:tcMar>
              <w:top w:w="60" w:type="dxa"/>
              <w:left w:w="100" w:type="dxa"/>
              <w:bottom w:w="60" w:type="dxa"/>
              <w:right w:w="100" w:type="dxa"/>
            </w:tcMar>
          </w:tcPr>
          <w:p w:rsidR="00695032" w:rsidRDefault="00DB4E94">
            <w:pPr>
              <w:jc w:val="center"/>
              <w:rPr>
                <w:i/>
                <w:sz w:val="18"/>
                <w:szCs w:val="18"/>
              </w:rPr>
            </w:pPr>
            <w:r>
              <w:rPr>
                <w:i/>
                <w:sz w:val="18"/>
                <w:szCs w:val="18"/>
              </w:rPr>
              <w:t xml:space="preserve">Pupils eligible for PP </w:t>
            </w:r>
          </w:p>
          <w:p w:rsidR="00695032" w:rsidRDefault="00695032">
            <w:pPr>
              <w:jc w:val="center"/>
              <w:rPr>
                <w:i/>
                <w:sz w:val="18"/>
                <w:szCs w:val="18"/>
              </w:rPr>
            </w:pPr>
          </w:p>
          <w:p w:rsidR="00695032" w:rsidRDefault="00DB4E94">
            <w:pPr>
              <w:jc w:val="center"/>
              <w:rPr>
                <w:i/>
                <w:sz w:val="18"/>
                <w:szCs w:val="18"/>
              </w:rPr>
            </w:pPr>
            <w:r>
              <w:rPr>
                <w:i/>
                <w:sz w:val="18"/>
                <w:szCs w:val="18"/>
              </w:rPr>
              <w:t>12</w:t>
            </w:r>
          </w:p>
        </w:tc>
        <w:tc>
          <w:tcPr>
            <w:tcW w:w="1992" w:type="dxa"/>
            <w:tcBorders>
              <w:top w:val="nil"/>
              <w:left w:val="nil"/>
              <w:bottom w:val="single" w:sz="8" w:space="0" w:color="000000"/>
              <w:right w:val="single" w:sz="8" w:space="0" w:color="000000"/>
            </w:tcBorders>
            <w:shd w:val="clear" w:color="auto" w:fill="FFFFFF"/>
            <w:tcMar>
              <w:top w:w="60" w:type="dxa"/>
              <w:left w:w="100" w:type="dxa"/>
              <w:bottom w:w="60" w:type="dxa"/>
              <w:right w:w="100" w:type="dxa"/>
            </w:tcMar>
          </w:tcPr>
          <w:p w:rsidR="00695032" w:rsidRDefault="00DB4E94">
            <w:pPr>
              <w:jc w:val="center"/>
              <w:rPr>
                <w:i/>
                <w:sz w:val="18"/>
                <w:szCs w:val="18"/>
              </w:rPr>
            </w:pPr>
            <w:r>
              <w:rPr>
                <w:i/>
                <w:sz w:val="18"/>
                <w:szCs w:val="18"/>
              </w:rPr>
              <w:t xml:space="preserve">Without Language unit </w:t>
            </w:r>
          </w:p>
          <w:p w:rsidR="00695032" w:rsidRDefault="00695032">
            <w:pPr>
              <w:jc w:val="center"/>
              <w:rPr>
                <w:i/>
                <w:sz w:val="18"/>
                <w:szCs w:val="18"/>
              </w:rPr>
            </w:pPr>
          </w:p>
        </w:tc>
        <w:tc>
          <w:tcPr>
            <w:tcW w:w="1992" w:type="dxa"/>
            <w:tcBorders>
              <w:top w:val="nil"/>
              <w:left w:val="nil"/>
              <w:bottom w:val="single" w:sz="8" w:space="0" w:color="000000"/>
              <w:right w:val="single" w:sz="8" w:space="0" w:color="000000"/>
            </w:tcBorders>
            <w:shd w:val="clear" w:color="auto" w:fill="FFFFFF"/>
            <w:tcMar>
              <w:top w:w="60" w:type="dxa"/>
              <w:left w:w="100" w:type="dxa"/>
              <w:bottom w:w="60" w:type="dxa"/>
              <w:right w:w="100" w:type="dxa"/>
            </w:tcMar>
          </w:tcPr>
          <w:p w:rsidR="00695032" w:rsidRDefault="00DB4E94">
            <w:pPr>
              <w:jc w:val="center"/>
              <w:rPr>
                <w:i/>
                <w:sz w:val="18"/>
                <w:szCs w:val="18"/>
              </w:rPr>
            </w:pPr>
            <w:r>
              <w:rPr>
                <w:i/>
                <w:sz w:val="18"/>
                <w:szCs w:val="18"/>
              </w:rPr>
              <w:t>Without language unit and EHC</w:t>
            </w:r>
          </w:p>
        </w:tc>
        <w:tc>
          <w:tcPr>
            <w:tcW w:w="2867" w:type="dxa"/>
            <w:tcBorders>
              <w:top w:val="nil"/>
              <w:left w:val="nil"/>
              <w:bottom w:val="single" w:sz="8" w:space="0" w:color="000000"/>
              <w:right w:val="single" w:sz="8" w:space="0" w:color="000000"/>
            </w:tcBorders>
            <w:shd w:val="clear" w:color="auto" w:fill="FFFFFF"/>
            <w:tcMar>
              <w:top w:w="60" w:type="dxa"/>
              <w:left w:w="100" w:type="dxa"/>
              <w:bottom w:w="60" w:type="dxa"/>
              <w:right w:w="100" w:type="dxa"/>
            </w:tcMar>
          </w:tcPr>
          <w:p w:rsidR="00695032" w:rsidRDefault="00DB4E94">
            <w:pPr>
              <w:jc w:val="center"/>
              <w:rPr>
                <w:i/>
                <w:sz w:val="18"/>
                <w:szCs w:val="18"/>
              </w:rPr>
            </w:pPr>
            <w:r>
              <w:rPr>
                <w:i/>
                <w:sz w:val="18"/>
                <w:szCs w:val="18"/>
              </w:rPr>
              <w:t xml:space="preserve">Pupils not eligible for PP </w:t>
            </w:r>
          </w:p>
          <w:p w:rsidR="00695032" w:rsidRDefault="00DB4E94">
            <w:pPr>
              <w:jc w:val="center"/>
              <w:rPr>
                <w:i/>
                <w:sz w:val="18"/>
                <w:szCs w:val="18"/>
              </w:rPr>
            </w:pPr>
            <w:r>
              <w:rPr>
                <w:i/>
                <w:sz w:val="18"/>
                <w:szCs w:val="18"/>
              </w:rPr>
              <w:t>school</w:t>
            </w:r>
          </w:p>
        </w:tc>
      </w:tr>
      <w:tr w:rsidR="00695032">
        <w:trPr>
          <w:trHeight w:val="420"/>
        </w:trPr>
        <w:tc>
          <w:tcPr>
            <w:tcW w:w="5104"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vAlign w:val="bottom"/>
          </w:tcPr>
          <w:p w:rsidR="00695032" w:rsidRDefault="00DB4E94">
            <w:pPr>
              <w:ind w:right="-20"/>
              <w:rPr>
                <w:b/>
              </w:rPr>
            </w:pPr>
            <w:r>
              <w:rPr>
                <w:b/>
              </w:rPr>
              <w:t>% achieving in reading, writing and maths (National 61)</w:t>
            </w:r>
          </w:p>
        </w:tc>
        <w:tc>
          <w:tcPr>
            <w:tcW w:w="1992" w:type="dxa"/>
            <w:tcBorders>
              <w:top w:val="nil"/>
              <w:left w:val="nil"/>
              <w:bottom w:val="single" w:sz="8" w:space="0" w:color="000000"/>
              <w:right w:val="single" w:sz="8" w:space="0" w:color="000000"/>
            </w:tcBorders>
            <w:tcMar>
              <w:top w:w="60" w:type="dxa"/>
              <w:left w:w="100" w:type="dxa"/>
              <w:bottom w:w="60" w:type="dxa"/>
              <w:right w:w="100" w:type="dxa"/>
            </w:tcMar>
          </w:tcPr>
          <w:p w:rsidR="00695032" w:rsidRDefault="00DB4E94">
            <w:pPr>
              <w:ind w:left="180"/>
              <w:jc w:val="center"/>
            </w:pPr>
            <w:r>
              <w:t>67</w:t>
            </w:r>
          </w:p>
        </w:tc>
        <w:tc>
          <w:tcPr>
            <w:tcW w:w="1992" w:type="dxa"/>
            <w:tcBorders>
              <w:top w:val="nil"/>
              <w:left w:val="nil"/>
              <w:bottom w:val="single" w:sz="8" w:space="0" w:color="000000"/>
              <w:right w:val="single" w:sz="8" w:space="0" w:color="000000"/>
            </w:tcBorders>
            <w:tcMar>
              <w:top w:w="60" w:type="dxa"/>
              <w:left w:w="100" w:type="dxa"/>
              <w:bottom w:w="60" w:type="dxa"/>
              <w:right w:w="100" w:type="dxa"/>
            </w:tcMar>
          </w:tcPr>
          <w:p w:rsidR="00695032" w:rsidRDefault="00695032">
            <w:pPr>
              <w:ind w:left="180"/>
              <w:jc w:val="center"/>
            </w:pPr>
          </w:p>
        </w:tc>
        <w:tc>
          <w:tcPr>
            <w:tcW w:w="1992" w:type="dxa"/>
            <w:tcBorders>
              <w:top w:val="nil"/>
              <w:left w:val="nil"/>
              <w:bottom w:val="single" w:sz="8" w:space="0" w:color="000000"/>
              <w:right w:val="single" w:sz="8" w:space="0" w:color="000000"/>
            </w:tcBorders>
            <w:tcMar>
              <w:top w:w="60" w:type="dxa"/>
              <w:left w:w="100" w:type="dxa"/>
              <w:bottom w:w="60" w:type="dxa"/>
              <w:right w:w="100" w:type="dxa"/>
            </w:tcMar>
          </w:tcPr>
          <w:p w:rsidR="00695032" w:rsidRDefault="00695032">
            <w:pPr>
              <w:ind w:left="180"/>
              <w:jc w:val="center"/>
            </w:pPr>
          </w:p>
        </w:tc>
        <w:tc>
          <w:tcPr>
            <w:tcW w:w="2867" w:type="dxa"/>
            <w:tcBorders>
              <w:top w:val="nil"/>
              <w:left w:val="nil"/>
              <w:bottom w:val="single" w:sz="8" w:space="0" w:color="000000"/>
              <w:right w:val="single" w:sz="8" w:space="0" w:color="000000"/>
            </w:tcBorders>
            <w:tcMar>
              <w:top w:w="60" w:type="dxa"/>
              <w:left w:w="100" w:type="dxa"/>
              <w:bottom w:w="60" w:type="dxa"/>
              <w:right w:w="100" w:type="dxa"/>
            </w:tcMar>
          </w:tcPr>
          <w:p w:rsidR="00695032" w:rsidRDefault="00695032">
            <w:pPr>
              <w:jc w:val="center"/>
            </w:pPr>
          </w:p>
        </w:tc>
      </w:tr>
      <w:tr w:rsidR="00695032">
        <w:trPr>
          <w:trHeight w:val="420"/>
        </w:trPr>
        <w:tc>
          <w:tcPr>
            <w:tcW w:w="5104"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vAlign w:val="bottom"/>
          </w:tcPr>
          <w:p w:rsidR="00695032" w:rsidRDefault="00DB4E94">
            <w:pPr>
              <w:ind w:right="-20"/>
              <w:rPr>
                <w:b/>
              </w:rPr>
            </w:pPr>
            <w:r>
              <w:rPr>
                <w:b/>
              </w:rPr>
              <w:t xml:space="preserve">Reading </w:t>
            </w:r>
          </w:p>
        </w:tc>
        <w:tc>
          <w:tcPr>
            <w:tcW w:w="1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DB4E94">
            <w:pPr>
              <w:widowControl w:val="0"/>
              <w:jc w:val="center"/>
              <w:rPr>
                <w:rFonts w:ascii="Calibri" w:eastAsia="Calibri" w:hAnsi="Calibri" w:cs="Calibri"/>
              </w:rPr>
            </w:pPr>
            <w:r>
              <w:rPr>
                <w:rFonts w:ascii="Calibri" w:eastAsia="Calibri" w:hAnsi="Calibri" w:cs="Calibri"/>
              </w:rPr>
              <w:t>83</w:t>
            </w:r>
          </w:p>
        </w:tc>
        <w:tc>
          <w:tcPr>
            <w:tcW w:w="1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19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286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r>
      <w:tr w:rsidR="00695032">
        <w:trPr>
          <w:trHeight w:val="420"/>
        </w:trPr>
        <w:tc>
          <w:tcPr>
            <w:tcW w:w="5104"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vAlign w:val="bottom"/>
          </w:tcPr>
          <w:p w:rsidR="00695032" w:rsidRDefault="00DB4E94">
            <w:pPr>
              <w:ind w:right="-20"/>
              <w:rPr>
                <w:b/>
              </w:rPr>
            </w:pPr>
            <w:r>
              <w:rPr>
                <w:b/>
              </w:rPr>
              <w:t>Writing</w:t>
            </w: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286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r>
      <w:tr w:rsidR="00695032">
        <w:trPr>
          <w:trHeight w:val="420"/>
        </w:trPr>
        <w:tc>
          <w:tcPr>
            <w:tcW w:w="5104"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vAlign w:val="bottom"/>
          </w:tcPr>
          <w:p w:rsidR="00695032" w:rsidRDefault="00DB4E94">
            <w:pPr>
              <w:ind w:right="-20"/>
              <w:rPr>
                <w:b/>
              </w:rPr>
            </w:pPr>
            <w:r>
              <w:rPr>
                <w:b/>
              </w:rPr>
              <w:t>Maths</w:t>
            </w: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DB4E94">
            <w:pPr>
              <w:widowControl w:val="0"/>
              <w:jc w:val="center"/>
              <w:rPr>
                <w:rFonts w:ascii="Calibri" w:eastAsia="Calibri" w:hAnsi="Calibri" w:cs="Calibri"/>
              </w:rPr>
            </w:pPr>
            <w:r>
              <w:rPr>
                <w:rFonts w:ascii="Calibri" w:eastAsia="Calibri" w:hAnsi="Calibri" w:cs="Calibri"/>
              </w:rPr>
              <w:t>58</w:t>
            </w: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199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c>
          <w:tcPr>
            <w:tcW w:w="2867"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695032" w:rsidRDefault="00695032">
            <w:pPr>
              <w:widowControl w:val="0"/>
              <w:jc w:val="center"/>
              <w:rPr>
                <w:rFonts w:ascii="Calibri" w:eastAsia="Calibri" w:hAnsi="Calibri" w:cs="Calibri"/>
              </w:rPr>
            </w:pPr>
          </w:p>
        </w:tc>
      </w:tr>
      <w:tr w:rsidR="00695032">
        <w:trPr>
          <w:trHeight w:val="420"/>
        </w:trPr>
        <w:tc>
          <w:tcPr>
            <w:tcW w:w="13947" w:type="dxa"/>
            <w:gridSpan w:val="5"/>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vAlign w:val="bottom"/>
          </w:tcPr>
          <w:p w:rsidR="00695032" w:rsidRDefault="00DB4E94">
            <w:pPr>
              <w:ind w:right="-20"/>
              <w:rPr>
                <w:b/>
              </w:rPr>
            </w:pPr>
            <w:r>
              <w:rPr>
                <w:b/>
              </w:rPr>
              <w:t xml:space="preserve">There were 4 EHC pupils within the additional resource base and 4 EHC pupils within the Year 6 cohort. Disadvantaged attainment without these pupils significantly improves. However there is still a significant gap in reading.  There were two disadvantaged </w:t>
            </w:r>
            <w:r>
              <w:rPr>
                <w:b/>
              </w:rPr>
              <w:t xml:space="preserve">pupils without an EHC  who did not reach ARE. </w:t>
            </w:r>
          </w:p>
          <w:p w:rsidR="00695032" w:rsidRDefault="00DB4E94">
            <w:pPr>
              <w:ind w:right="-20"/>
              <w:rPr>
                <w:b/>
              </w:rPr>
            </w:pPr>
            <w:r>
              <w:rPr>
                <w:b/>
              </w:rPr>
              <w:t xml:space="preserve">Disadvantaged reading and maths  are a significant element of the school improvement focus in 2018. </w:t>
            </w:r>
          </w:p>
        </w:tc>
      </w:tr>
    </w:tbl>
    <w:p w:rsidR="00695032" w:rsidRDefault="00DB4E94">
      <w:pPr>
        <w:rPr>
          <w:sz w:val="16"/>
          <w:szCs w:val="16"/>
        </w:rPr>
      </w:pPr>
      <w:r>
        <w:rPr>
          <w:sz w:val="16"/>
          <w:szCs w:val="16"/>
        </w:rPr>
        <w:t xml:space="preserve"> </w:t>
      </w:r>
    </w:p>
    <w:tbl>
      <w:tblPr>
        <w:tblStyle w:val="a1"/>
        <w:tblW w:w="1395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37"/>
        <w:gridCol w:w="220"/>
        <w:gridCol w:w="7127"/>
        <w:gridCol w:w="5339"/>
        <w:gridCol w:w="234"/>
      </w:tblGrid>
      <w:tr w:rsidR="00695032">
        <w:trPr>
          <w:trHeight w:val="360"/>
        </w:trPr>
        <w:tc>
          <w:tcPr>
            <w:tcW w:w="13955" w:type="dxa"/>
            <w:gridSpan w:val="5"/>
            <w:tcBorders>
              <w:top w:val="single" w:sz="8" w:space="0" w:color="000000"/>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700" w:hanging="280"/>
              <w:rPr>
                <w:b/>
              </w:rPr>
            </w:pPr>
            <w:r>
              <w:rPr>
                <w:b/>
              </w:rPr>
              <w:t>3.</w:t>
            </w:r>
            <w:r>
              <w:rPr>
                <w:rFonts w:ascii="Times New Roman" w:eastAsia="Times New Roman" w:hAnsi="Times New Roman" w:cs="Times New Roman"/>
                <w:sz w:val="14"/>
                <w:szCs w:val="14"/>
              </w:rPr>
              <w:t xml:space="preserve">   </w:t>
            </w:r>
            <w:r>
              <w:rPr>
                <w:b/>
              </w:rPr>
              <w:t>Barriers to future attainment (for pupils eligible for PP, including high ability)</w:t>
            </w:r>
          </w:p>
        </w:tc>
      </w:tr>
      <w:tr w:rsidR="00695032">
        <w:trPr>
          <w:trHeight w:val="360"/>
        </w:trPr>
        <w:tc>
          <w:tcPr>
            <w:tcW w:w="13955" w:type="dxa"/>
            <w:gridSpan w:val="5"/>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i/>
              </w:rPr>
            </w:pPr>
            <w:r>
              <w:rPr>
                <w:b/>
              </w:rPr>
              <w:lastRenderedPageBreak/>
              <w:t>In-school barriers:</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A.</w:t>
            </w:r>
            <w:r>
              <w:rPr>
                <w:rFonts w:ascii="Times New Roman" w:eastAsia="Times New Roman" w:hAnsi="Times New Roman" w:cs="Times New Roman"/>
                <w:sz w:val="14"/>
                <w:szCs w:val="14"/>
              </w:rPr>
              <w:t xml:space="preserve">   </w:t>
            </w:r>
            <w:r>
              <w:rPr>
                <w:b/>
              </w:rPr>
              <w:t xml:space="preserve"> </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color w:val="00FF00"/>
                <w:sz w:val="18"/>
                <w:szCs w:val="18"/>
              </w:rPr>
              <w:t xml:space="preserve"> </w:t>
            </w:r>
            <w:r>
              <w:rPr>
                <w:sz w:val="18"/>
                <w:szCs w:val="18"/>
              </w:rPr>
              <w:t xml:space="preserve">Pupil skills are weak in KS1 with many pupil premium pupils accessing wave two or SEND support. Access to high quality teaching and learning, intervention and increasing support at home will support the closing of this gap. </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B.</w:t>
            </w:r>
            <w:r>
              <w:rPr>
                <w:rFonts w:ascii="Times New Roman" w:eastAsia="Times New Roman" w:hAnsi="Times New Roman" w:cs="Times New Roman"/>
                <w:sz w:val="14"/>
                <w:szCs w:val="14"/>
              </w:rPr>
              <w:t xml:space="preserve">   </w:t>
            </w:r>
            <w:r>
              <w:rPr>
                <w:b/>
              </w:rPr>
              <w:t xml:space="preserve"> </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Pupils enter the school with skills with significant delay in their communication and language skills. This impacts significantly on pupils progress and attainment in literacy. This is particularly evident for free school meal pupils. </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C.</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The sch</w:t>
            </w:r>
            <w:r>
              <w:rPr>
                <w:sz w:val="18"/>
                <w:szCs w:val="18"/>
              </w:rPr>
              <w:t xml:space="preserve">ool have a high proportion of pupils with additional needs and EHC plans who are also entitled to pupil premium. This impacts significantly on attainment outcomes. Ensuring the correct level of input is vital to support those pupils to achieve. </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D.</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The school hosts a specialist speech and language provision on behalf of the local authority. The language unit provides education for 25 pupils  of which are also pupil premium. The barriers  many of these pupils face are combined speech and language diso</w:t>
            </w:r>
            <w:r>
              <w:rPr>
                <w:sz w:val="18"/>
                <w:szCs w:val="18"/>
              </w:rPr>
              <w:t>rder which make accessing mainstream provision not suitable. Their difficulties limit their confidence, social interaction and life skills. Academically these pupils make excellent academic  progress although this may not be measured by scaled scores or ev</w:t>
            </w:r>
            <w:r>
              <w:rPr>
                <w:sz w:val="18"/>
                <w:szCs w:val="18"/>
              </w:rPr>
              <w:t>en achievement against ARE. The pupils who remain with us until year 6 move onto specialist provision. We wish to eradicate the barrier the speech and language difficulties and the limited experiences our pupils have create to the life skills of our pupils</w:t>
            </w:r>
            <w:r>
              <w:rPr>
                <w:sz w:val="18"/>
                <w:szCs w:val="18"/>
              </w:rPr>
              <w:t xml:space="preserve">. </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E</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Attainment in reading for disadvantaged pupils improved in 2019 however is still a priority to address all year groups. Although EHC and LU pupils impact in these statistics without language unit the gap remains high (attainment has improved in readi</w:t>
            </w:r>
            <w:r>
              <w:rPr>
                <w:sz w:val="18"/>
                <w:szCs w:val="18"/>
              </w:rPr>
              <w:t xml:space="preserve">ng on 2017 results by 14%). </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60" w:hanging="340"/>
              <w:rPr>
                <w:b/>
              </w:rPr>
            </w:pPr>
            <w:r>
              <w:rPr>
                <w:b/>
              </w:rPr>
              <w:t>F</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Attainment in writing is much lower for disadvantaged pupil. This is not a trend and is an issue due to the number of langauge unit pupils who’s speech and language skills limit their ability to reach ARE in writing who are also pupil premium. </w:t>
            </w:r>
          </w:p>
          <w:p w:rsidR="00695032" w:rsidRDefault="00695032">
            <w:pPr>
              <w:widowControl w:val="0"/>
              <w:pBdr>
                <w:top w:val="nil"/>
                <w:left w:val="nil"/>
                <w:bottom w:val="nil"/>
                <w:right w:val="nil"/>
                <w:between w:val="nil"/>
              </w:pBdr>
              <w:rPr>
                <w:sz w:val="18"/>
                <w:szCs w:val="18"/>
              </w:rPr>
            </w:pPr>
          </w:p>
          <w:p w:rsidR="00695032" w:rsidRDefault="00695032">
            <w:pPr>
              <w:widowControl w:val="0"/>
              <w:pBdr>
                <w:top w:val="nil"/>
                <w:left w:val="nil"/>
                <w:bottom w:val="nil"/>
                <w:right w:val="nil"/>
                <w:between w:val="nil"/>
              </w:pBdr>
              <w:rPr>
                <w:sz w:val="18"/>
                <w:szCs w:val="18"/>
              </w:rPr>
            </w:pPr>
          </w:p>
        </w:tc>
      </w:tr>
      <w:tr w:rsidR="00695032">
        <w:trPr>
          <w:trHeight w:val="360"/>
        </w:trPr>
        <w:tc>
          <w:tcPr>
            <w:tcW w:w="13955" w:type="dxa"/>
            <w:gridSpan w:val="5"/>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i/>
              </w:rPr>
            </w:pPr>
            <w:r>
              <w:rPr>
                <w:b/>
              </w:rPr>
              <w:t xml:space="preserve">External barriers </w:t>
            </w:r>
            <w:r>
              <w:rPr>
                <w:i/>
              </w:rPr>
              <w:t>(issues which also require action outside school, such as low attendance rates)</w:t>
            </w:r>
          </w:p>
        </w:tc>
      </w:tr>
      <w:tr w:rsidR="00695032">
        <w:trPr>
          <w:trHeight w:val="560"/>
        </w:trPr>
        <w:tc>
          <w:tcPr>
            <w:tcW w:w="1246" w:type="dxa"/>
            <w:gridSpan w:val="2"/>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00" w:hanging="280"/>
              <w:rPr>
                <w:b/>
              </w:rPr>
            </w:pPr>
            <w:r>
              <w:rPr>
                <w:b/>
              </w:rPr>
              <w:t>D.</w:t>
            </w:r>
          </w:p>
        </w:tc>
        <w:tc>
          <w:tcPr>
            <w:tcW w:w="1270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Attendance of individual pupils who are disadvantaged is a barrier to attainment. </w:t>
            </w:r>
          </w:p>
          <w:p w:rsidR="00695032" w:rsidRDefault="00695032">
            <w:pPr>
              <w:widowControl w:val="0"/>
              <w:pBdr>
                <w:top w:val="nil"/>
                <w:left w:val="nil"/>
                <w:bottom w:val="nil"/>
                <w:right w:val="nil"/>
                <w:between w:val="nil"/>
              </w:pBdr>
              <w:rPr>
                <w:sz w:val="18"/>
                <w:szCs w:val="18"/>
              </w:rPr>
            </w:pPr>
          </w:p>
        </w:tc>
      </w:tr>
      <w:tr w:rsidR="00695032">
        <w:tc>
          <w:tcPr>
            <w:tcW w:w="13721" w:type="dxa"/>
            <w:gridSpan w:val="4"/>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700" w:hanging="280"/>
              <w:rPr>
                <w:b/>
              </w:rPr>
            </w:pPr>
            <w:r>
              <w:rPr>
                <w:b/>
              </w:rPr>
              <w:t>4.</w:t>
            </w:r>
            <w:r>
              <w:rPr>
                <w:rFonts w:ascii="Times New Roman" w:eastAsia="Times New Roman" w:hAnsi="Times New Roman" w:cs="Times New Roman"/>
                <w:sz w:val="14"/>
                <w:szCs w:val="14"/>
              </w:rPr>
              <w:t xml:space="preserve">   </w:t>
            </w:r>
            <w:r>
              <w:rPr>
                <w:b/>
              </w:rPr>
              <w:t>Desired outcomes</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jc w:val="both"/>
            </w:pPr>
            <w:r>
              <w:t xml:space="preserve"> </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i/>
              </w:rPr>
            </w:pPr>
            <w:r>
              <w:rPr>
                <w:i/>
              </w:rPr>
              <w:t>Desired outcomes and how they will be measured</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i/>
              </w:rPr>
            </w:pPr>
            <w:r>
              <w:rPr>
                <w:i/>
              </w:rPr>
              <w:t>Success criteria</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80" w:hanging="360"/>
              <w:jc w:val="both"/>
              <w:rPr>
                <w:b/>
              </w:rPr>
            </w:pPr>
            <w:r>
              <w:rPr>
                <w:b/>
              </w:rPr>
              <w:lastRenderedPageBreak/>
              <w:t>A.</w:t>
            </w:r>
            <w:r>
              <w:rPr>
                <w:rFonts w:ascii="Times New Roman" w:eastAsia="Times New Roman" w:hAnsi="Times New Roman" w:cs="Times New Roman"/>
                <w:sz w:val="14"/>
                <w:szCs w:val="14"/>
              </w:rPr>
              <w:t xml:space="preserve">   </w:t>
            </w:r>
            <w:r>
              <w:rPr>
                <w:b/>
              </w:rPr>
              <w:t xml:space="preserve"> </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 xml:space="preserve"> Attainment in reading is at least in line with non- disadvantaged attainment. </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End of KS2-achievement is similar between disadvantaged and non disadvantaged meeting expected standard</w:t>
            </w:r>
          </w:p>
          <w:p w:rsidR="00695032" w:rsidRDefault="00DB4E94">
            <w:pPr>
              <w:widowControl w:val="0"/>
              <w:pBdr>
                <w:top w:val="nil"/>
                <w:left w:val="nil"/>
                <w:bottom w:val="nil"/>
                <w:right w:val="nil"/>
                <w:between w:val="nil"/>
              </w:pBdr>
              <w:rPr>
                <w:sz w:val="18"/>
                <w:szCs w:val="18"/>
              </w:rPr>
            </w:pPr>
            <w:r>
              <w:rPr>
                <w:sz w:val="18"/>
                <w:szCs w:val="18"/>
              </w:rPr>
              <w:t>80% of disadvantaged pupils reach the expected standard at KS2</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80" w:hanging="360"/>
              <w:jc w:val="both"/>
              <w:rPr>
                <w:b/>
              </w:rPr>
            </w:pPr>
            <w:r>
              <w:rPr>
                <w:b/>
              </w:rPr>
              <w:t>B.</w:t>
            </w:r>
            <w:r>
              <w:rPr>
                <w:rFonts w:ascii="Times New Roman" w:eastAsia="Times New Roman" w:hAnsi="Times New Roman" w:cs="Times New Roman"/>
                <w:sz w:val="14"/>
                <w:szCs w:val="14"/>
              </w:rPr>
              <w:t xml:space="preserve">   </w:t>
            </w:r>
            <w:r>
              <w:rPr>
                <w:b/>
              </w:rPr>
              <w:t xml:space="preserve"> </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 xml:space="preserve"> Attainment in maths is in line with non- disadvantaged attainment </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End of KS2-achievement is similar between disadvantaged and non disadvantaged meeting expected standard</w:t>
            </w:r>
          </w:p>
          <w:p w:rsidR="00695032" w:rsidRDefault="00DB4E94">
            <w:pPr>
              <w:widowControl w:val="0"/>
              <w:rPr>
                <w:sz w:val="18"/>
                <w:szCs w:val="18"/>
              </w:rPr>
            </w:pPr>
            <w:r>
              <w:rPr>
                <w:sz w:val="18"/>
                <w:szCs w:val="18"/>
              </w:rPr>
              <w:t>80% of disadvantaged pupils reach the expected standard at KS2</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80" w:hanging="360"/>
              <w:jc w:val="both"/>
              <w:rPr>
                <w:b/>
              </w:rPr>
            </w:pPr>
            <w:r>
              <w:rPr>
                <w:b/>
              </w:rPr>
              <w:t>C.</w:t>
            </w:r>
            <w:r>
              <w:rPr>
                <w:rFonts w:ascii="Times New Roman" w:eastAsia="Times New Roman" w:hAnsi="Times New Roman" w:cs="Times New Roman"/>
                <w:sz w:val="14"/>
                <w:szCs w:val="14"/>
              </w:rPr>
              <w:t xml:space="preserve">   </w:t>
            </w:r>
            <w:r>
              <w:rPr>
                <w:b/>
              </w:rPr>
              <w:t xml:space="preserve"> </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 xml:space="preserve">  Attendance for free school meal pupils is in line with attendance of non- free school meal pupils.</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Attendance is at least 95% for the group</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80" w:hanging="360"/>
              <w:jc w:val="both"/>
              <w:rPr>
                <w:b/>
              </w:rPr>
            </w:pPr>
            <w:r>
              <w:rPr>
                <w:b/>
              </w:rPr>
              <w:t>D.</w:t>
            </w:r>
            <w:r>
              <w:rPr>
                <w:rFonts w:ascii="Times New Roman" w:eastAsia="Times New Roman" w:hAnsi="Times New Roman" w:cs="Times New Roman"/>
                <w:sz w:val="14"/>
                <w:szCs w:val="14"/>
              </w:rPr>
              <w:t xml:space="preserve">   </w:t>
            </w:r>
            <w:r>
              <w:rPr>
                <w:b/>
              </w:rPr>
              <w:t xml:space="preserve"> </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Progress of disadvantaged pupils in reading is in line with other subjects</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80% of disadvantaged pupils make expected progress</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pPr>
            <w:r>
              <w:t xml:space="preserve"> </w:t>
            </w:r>
          </w:p>
        </w:tc>
      </w:tr>
      <w:tr w:rsidR="00695032">
        <w:trPr>
          <w:trHeight w:val="560"/>
        </w:trPr>
        <w:tc>
          <w:tcPr>
            <w:tcW w:w="1038"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780" w:hanging="360"/>
              <w:jc w:val="both"/>
              <w:rPr>
                <w:b/>
              </w:rPr>
            </w:pPr>
            <w:r>
              <w:rPr>
                <w:b/>
              </w:rPr>
              <w:t>E.</w:t>
            </w:r>
          </w:p>
        </w:tc>
        <w:tc>
          <w:tcPr>
            <w:tcW w:w="7340" w:type="dxa"/>
            <w:gridSpan w:val="2"/>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 xml:space="preserve">Pupils with additional needs develop confidence and social interactions skills to gain skills for life. </w:t>
            </w:r>
          </w:p>
        </w:tc>
        <w:tc>
          <w:tcPr>
            <w:tcW w:w="53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All pupils within the specialist unit develop recognised social skills and skills for life measured by PIVATS/ accreditation. </w:t>
            </w: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r>
      <w:tr w:rsidR="00695032">
        <w:trPr>
          <w:trHeight w:val="200"/>
        </w:trPr>
        <w:tc>
          <w:tcPr>
            <w:tcW w:w="1038"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208"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7132"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5343"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234" w:type="dxa"/>
            <w:tcBorders>
              <w:top w:val="nil"/>
              <w:left w:val="nil"/>
              <w:bottom w:val="nil"/>
              <w:right w:val="nil"/>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r>
    </w:tbl>
    <w:p w:rsidR="00695032" w:rsidRDefault="00695032"/>
    <w:p w:rsidR="00695032" w:rsidRDefault="00695032"/>
    <w:p w:rsidR="00695032" w:rsidRDefault="00DB4E94">
      <w:r>
        <w:t xml:space="preserve"> </w:t>
      </w:r>
    </w:p>
    <w:tbl>
      <w:tblPr>
        <w:tblStyle w:val="a2"/>
        <w:tblW w:w="1395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10"/>
        <w:gridCol w:w="1815"/>
        <w:gridCol w:w="2528"/>
        <w:gridCol w:w="2257"/>
        <w:gridCol w:w="983"/>
        <w:gridCol w:w="1588"/>
        <w:gridCol w:w="1588"/>
        <w:gridCol w:w="1588"/>
      </w:tblGrid>
      <w:tr w:rsidR="00695032">
        <w:trPr>
          <w:trHeight w:val="420"/>
        </w:trPr>
        <w:tc>
          <w:tcPr>
            <w:tcW w:w="13954" w:type="dxa"/>
            <w:gridSpan w:val="8"/>
            <w:tcBorders>
              <w:top w:val="single" w:sz="8" w:space="0" w:color="000000"/>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700" w:hanging="280"/>
              <w:rPr>
                <w:b/>
              </w:rPr>
            </w:pPr>
            <w:r>
              <w:rPr>
                <w:b/>
              </w:rPr>
              <w:t>5.</w:t>
            </w:r>
            <w:r>
              <w:rPr>
                <w:rFonts w:ascii="Times New Roman" w:eastAsia="Times New Roman" w:hAnsi="Times New Roman" w:cs="Times New Roman"/>
                <w:sz w:val="14"/>
                <w:szCs w:val="14"/>
              </w:rPr>
              <w:t xml:space="preserve">   </w:t>
            </w:r>
            <w:r>
              <w:rPr>
                <w:b/>
              </w:rPr>
              <w:t>Planned expenditure</w:t>
            </w:r>
          </w:p>
        </w:tc>
      </w:tr>
      <w:tr w:rsidR="00695032">
        <w:trPr>
          <w:trHeight w:val="56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Academic year</w:t>
            </w:r>
          </w:p>
        </w:tc>
        <w:tc>
          <w:tcPr>
            <w:tcW w:w="12345" w:type="dxa"/>
            <w:gridSpan w:val="7"/>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ind w:left="420"/>
              <w:rPr>
                <w:b/>
              </w:rPr>
            </w:pPr>
            <w:r>
              <w:rPr>
                <w:b/>
              </w:rPr>
              <w:t xml:space="preserve"> 2019-20</w:t>
            </w:r>
          </w:p>
        </w:tc>
      </w:tr>
      <w:tr w:rsidR="00695032">
        <w:trPr>
          <w:trHeight w:val="640"/>
        </w:trPr>
        <w:tc>
          <w:tcPr>
            <w:tcW w:w="13954" w:type="dxa"/>
            <w:gridSpan w:val="8"/>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pPr>
            <w:r>
              <w:t>The three headings below enable schools to demonstrate how they are using the pupil premium to improve classroom pedagogy, provide targeted support and support whole school strategies.</w:t>
            </w:r>
          </w:p>
        </w:tc>
      </w:tr>
      <w:tr w:rsidR="00695032">
        <w:trPr>
          <w:trHeight w:val="360"/>
        </w:trPr>
        <w:tc>
          <w:tcPr>
            <w:tcW w:w="10778" w:type="dxa"/>
            <w:gridSpan w:val="6"/>
            <w:tcBorders>
              <w:top w:val="nil"/>
              <w:left w:val="single" w:sz="8" w:space="0" w:color="000000"/>
              <w:bottom w:val="single" w:sz="8" w:space="0" w:color="000000"/>
              <w:right w:val="single" w:sz="8" w:space="0" w:color="000000"/>
            </w:tcBorders>
            <w:shd w:val="clear" w:color="auto" w:fill="FFFFFF"/>
            <w:tcMar>
              <w:top w:w="60" w:type="dxa"/>
              <w:left w:w="100" w:type="dxa"/>
              <w:bottom w:w="60" w:type="dxa"/>
              <w:right w:w="100" w:type="dxa"/>
            </w:tcMar>
          </w:tcPr>
          <w:p w:rsidR="00695032" w:rsidRDefault="00DB4E94">
            <w:pPr>
              <w:ind w:left="840" w:hanging="420"/>
              <w:rPr>
                <w:b/>
              </w:rPr>
            </w:pPr>
            <w:r>
              <w:rPr>
                <w:rFonts w:ascii="Times New Roman" w:eastAsia="Times New Roman" w:hAnsi="Times New Roman" w:cs="Times New Roman"/>
                <w:sz w:val="14"/>
                <w:szCs w:val="14"/>
              </w:rPr>
              <w:tab/>
            </w:r>
            <w:r>
              <w:rPr>
                <w:b/>
              </w:rPr>
              <w:t>i.</w:t>
            </w:r>
            <w:r>
              <w:rPr>
                <w:rFonts w:ascii="Times New Roman" w:eastAsia="Times New Roman" w:hAnsi="Times New Roman" w:cs="Times New Roman"/>
                <w:sz w:val="14"/>
                <w:szCs w:val="14"/>
              </w:rPr>
              <w:t xml:space="preserve">   </w:t>
            </w:r>
            <w:r>
              <w:rPr>
                <w:b/>
              </w:rPr>
              <w:t>Quality of teaching for all</w:t>
            </w:r>
          </w:p>
        </w:tc>
        <w:tc>
          <w:tcPr>
            <w:tcW w:w="1588" w:type="dxa"/>
            <w:tcBorders>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1588" w:type="dxa"/>
            <w:tcBorders>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r>
      <w:tr w:rsidR="00695032">
        <w:trPr>
          <w:trHeight w:val="1280"/>
        </w:trPr>
        <w:tc>
          <w:tcPr>
            <w:tcW w:w="1609" w:type="dxa"/>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lastRenderedPageBreak/>
              <w:t>Desired outcome</w:t>
            </w:r>
          </w:p>
        </w:tc>
        <w:tc>
          <w:tcPr>
            <w:tcW w:w="1814" w:type="dxa"/>
            <w:tcBorders>
              <w:top w:val="nil"/>
              <w:left w:val="nil"/>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Chosen action/approach</w:t>
            </w:r>
          </w:p>
        </w:tc>
        <w:tc>
          <w:tcPr>
            <w:tcW w:w="2527" w:type="dxa"/>
            <w:tcBorders>
              <w:top w:val="nil"/>
              <w:left w:val="nil"/>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What is the evidence and rationale for this choice?</w:t>
            </w:r>
          </w:p>
        </w:tc>
        <w:tc>
          <w:tcPr>
            <w:tcW w:w="2257" w:type="dxa"/>
            <w:tcBorders>
              <w:top w:val="nil"/>
              <w:left w:val="nil"/>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How will you ensure it is implemented well?</w:t>
            </w:r>
          </w:p>
        </w:tc>
        <w:tc>
          <w:tcPr>
            <w:tcW w:w="983"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Staff lead</w:t>
            </w: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When will you review implementation?</w:t>
            </w: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 xml:space="preserve">Cost </w:t>
            </w: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 xml:space="preserve">Monitoring/ to be updated at review in February </w:t>
            </w:r>
          </w:p>
        </w:tc>
      </w:tr>
      <w:tr w:rsidR="00695032">
        <w:trPr>
          <w:trHeight w:val="500"/>
        </w:trPr>
        <w:tc>
          <w:tcPr>
            <w:tcW w:w="1609" w:type="dxa"/>
            <w:vMerge w:val="restart"/>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sz w:val="18"/>
                <w:szCs w:val="18"/>
              </w:rPr>
            </w:pPr>
            <w:r>
              <w:rPr>
                <w:b/>
                <w:sz w:val="18"/>
                <w:szCs w:val="18"/>
              </w:rPr>
              <w:t xml:space="preserve"> Improve attainment at the end of KS2 for disadvantaged pupils in reading and maths  to 80% </w:t>
            </w:r>
          </w:p>
          <w:p w:rsidR="00695032" w:rsidRDefault="00695032">
            <w:pPr>
              <w:widowControl w:val="0"/>
              <w:pBdr>
                <w:top w:val="nil"/>
                <w:left w:val="nil"/>
                <w:bottom w:val="nil"/>
                <w:right w:val="nil"/>
                <w:between w:val="nil"/>
              </w:pBdr>
              <w:rPr>
                <w:b/>
                <w:sz w:val="18"/>
                <w:szCs w:val="18"/>
              </w:rPr>
            </w:pPr>
          </w:p>
          <w:p w:rsidR="00695032" w:rsidRDefault="00DB4E94">
            <w:pPr>
              <w:widowControl w:val="0"/>
              <w:rPr>
                <w:sz w:val="18"/>
                <w:szCs w:val="18"/>
                <w:highlight w:val="yellow"/>
              </w:rPr>
            </w:pPr>
            <w:r>
              <w:rPr>
                <w:sz w:val="18"/>
                <w:szCs w:val="18"/>
                <w:highlight w:val="yellow"/>
              </w:rPr>
              <w:t xml:space="preserve"> </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Reduction of class size in upper KS2 through employment of an additional teacher TLR  2 days per week to deliver lessons and interventions </w:t>
            </w:r>
          </w:p>
          <w:p w:rsidR="00695032" w:rsidRDefault="00695032">
            <w:pPr>
              <w:widowControl w:val="0"/>
              <w:pBdr>
                <w:top w:val="nil"/>
                <w:left w:val="nil"/>
                <w:bottom w:val="nil"/>
                <w:right w:val="nil"/>
                <w:between w:val="nil"/>
              </w:pBdr>
              <w:rPr>
                <w:sz w:val="18"/>
                <w:szCs w:val="18"/>
              </w:rPr>
            </w:pPr>
          </w:p>
          <w:p w:rsidR="00695032" w:rsidRDefault="00DB4E94">
            <w:pPr>
              <w:widowControl w:val="0"/>
              <w:pBdr>
                <w:top w:val="nil"/>
                <w:left w:val="nil"/>
                <w:bottom w:val="nil"/>
                <w:right w:val="nil"/>
                <w:between w:val="nil"/>
              </w:pBdr>
              <w:rPr>
                <w:sz w:val="18"/>
                <w:szCs w:val="18"/>
              </w:rPr>
            </w:pPr>
            <w:r>
              <w:rPr>
                <w:sz w:val="18"/>
                <w:szCs w:val="18"/>
              </w:rPr>
              <w:t xml:space="preserve">Teacher interventions will be arithmetic focused. </w:t>
            </w:r>
          </w:p>
          <w:p w:rsidR="00695032" w:rsidRDefault="00695032">
            <w:pPr>
              <w:widowControl w:val="0"/>
              <w:pBdr>
                <w:top w:val="nil"/>
                <w:left w:val="nil"/>
                <w:bottom w:val="nil"/>
                <w:right w:val="nil"/>
                <w:between w:val="nil"/>
              </w:pBdr>
              <w:rPr>
                <w:sz w:val="18"/>
                <w:szCs w:val="18"/>
              </w:rPr>
            </w:pPr>
          </w:p>
          <w:p w:rsidR="00695032" w:rsidRDefault="00695032">
            <w:pPr>
              <w:widowControl w:val="0"/>
              <w:pBdr>
                <w:top w:val="nil"/>
                <w:left w:val="nil"/>
                <w:bottom w:val="nil"/>
                <w:right w:val="nil"/>
                <w:between w:val="nil"/>
              </w:pBdr>
              <w:rPr>
                <w:sz w:val="18"/>
                <w:szCs w:val="18"/>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b/>
                <w:sz w:val="18"/>
                <w:szCs w:val="18"/>
              </w:rPr>
              <w:t xml:space="preserve"> </w:t>
            </w:r>
            <w:r>
              <w:rPr>
                <w:color w:val="2B3A42"/>
                <w:sz w:val="18"/>
                <w:szCs w:val="18"/>
                <w:highlight w:val="white"/>
              </w:rPr>
              <w:t>Reducing class size appears to result in around 3 months additional progress for pupils, on average. EEF</w:t>
            </w:r>
          </w:p>
          <w:p w:rsidR="00695032" w:rsidRDefault="00DB4E94">
            <w:pPr>
              <w:rPr>
                <w:b/>
                <w:sz w:val="18"/>
                <w:szCs w:val="18"/>
              </w:rPr>
            </w:pPr>
            <w:r>
              <w:rPr>
                <w:b/>
                <w:sz w:val="18"/>
                <w:szCs w:val="18"/>
              </w:rPr>
              <w:t>This strategy was successful in 2018-19 with</w:t>
            </w:r>
          </w:p>
          <w:p w:rsidR="00695032" w:rsidRDefault="00DB4E94">
            <w:pPr>
              <w:rPr>
                <w:b/>
                <w:sz w:val="18"/>
                <w:szCs w:val="18"/>
              </w:rPr>
            </w:pPr>
            <w:r>
              <w:rPr>
                <w:b/>
                <w:sz w:val="18"/>
                <w:szCs w:val="18"/>
              </w:rPr>
              <w:t>100% of targeted children reaching ARE and 80% overa</w:t>
            </w:r>
            <w:r>
              <w:rPr>
                <w:b/>
                <w:sz w:val="18"/>
                <w:szCs w:val="18"/>
              </w:rPr>
              <w:t xml:space="preserve">ll. This is being extended into maths. </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Data analysis and identification of target groups of learners. </w:t>
            </w:r>
          </w:p>
          <w:p w:rsidR="00695032" w:rsidRDefault="00DB4E94">
            <w:pPr>
              <w:widowControl w:val="0"/>
              <w:pBdr>
                <w:top w:val="nil"/>
                <w:left w:val="nil"/>
                <w:bottom w:val="nil"/>
                <w:right w:val="nil"/>
                <w:between w:val="nil"/>
              </w:pBdr>
              <w:rPr>
                <w:sz w:val="18"/>
                <w:szCs w:val="18"/>
              </w:rPr>
            </w:pPr>
            <w:r>
              <w:rPr>
                <w:sz w:val="18"/>
                <w:szCs w:val="18"/>
              </w:rPr>
              <w:t xml:space="preserve">Additional classroom used as break out space for split class. </w:t>
            </w:r>
          </w:p>
          <w:p w:rsidR="00695032" w:rsidRDefault="00695032">
            <w:pPr>
              <w:widowControl w:val="0"/>
              <w:pBdr>
                <w:top w:val="nil"/>
                <w:left w:val="nil"/>
                <w:bottom w:val="nil"/>
                <w:right w:val="nil"/>
                <w:between w:val="nil"/>
              </w:pBdr>
              <w:rPr>
                <w:sz w:val="18"/>
                <w:szCs w:val="18"/>
              </w:rPr>
            </w:pP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sz w:val="18"/>
                <w:szCs w:val="18"/>
              </w:rPr>
            </w:pPr>
            <w:r>
              <w:rPr>
                <w:b/>
                <w:sz w:val="18"/>
                <w:szCs w:val="18"/>
              </w:rPr>
              <w:t xml:space="preserve"> G Jeynes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Review will take place with the monitoring cycle. Work and planning and lesso</w:t>
            </w:r>
            <w:r>
              <w:rPr>
                <w:sz w:val="18"/>
                <w:szCs w:val="18"/>
              </w:rPr>
              <w:t xml:space="preserve">n observations each half term and data interviews termly.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£14,140.50</w:t>
            </w:r>
          </w:p>
          <w:p w:rsidR="00695032" w:rsidRDefault="00DB4E94">
            <w:pPr>
              <w:widowControl w:val="0"/>
              <w:rPr>
                <w:sz w:val="18"/>
                <w:szCs w:val="18"/>
              </w:rPr>
            </w:pPr>
            <w:r>
              <w:rPr>
                <w:sz w:val="18"/>
                <w:szCs w:val="18"/>
              </w:rPr>
              <w:t>(KM)</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500"/>
        </w:trPr>
        <w:tc>
          <w:tcPr>
            <w:tcW w:w="1609" w:type="dxa"/>
            <w:vMerge/>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rPr>
                <w:b/>
                <w:sz w:val="18"/>
                <w:szCs w:val="18"/>
              </w:rPr>
            </w:pP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Renew read write inc training for target staff. Many trained staff have moved on and there is a skills gap in this area. </w:t>
            </w: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The Rose Review (2006) states teaching synthetic systematic phonics is the most effective method to teach children to read.</w:t>
            </w:r>
          </w:p>
          <w:p w:rsidR="00695032" w:rsidRDefault="00DB4E94">
            <w:pPr>
              <w:widowControl w:val="0"/>
              <w:pBdr>
                <w:top w:val="nil"/>
                <w:left w:val="nil"/>
                <w:bottom w:val="nil"/>
                <w:right w:val="nil"/>
                <w:between w:val="nil"/>
              </w:pBdr>
              <w:rPr>
                <w:sz w:val="18"/>
                <w:szCs w:val="18"/>
              </w:rPr>
            </w:pPr>
            <w:r>
              <w:rPr>
                <w:sz w:val="18"/>
                <w:szCs w:val="18"/>
              </w:rPr>
              <w:t>Research from Royal Holloway University, London (2017), ‘shows that learning to read by sounding out words has a dramatic impact on the accuracy of reading aloud and comprehension.’</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Staff identified will attend training. As part of the package the RWI team</w:t>
            </w:r>
            <w:r>
              <w:rPr>
                <w:sz w:val="18"/>
                <w:szCs w:val="18"/>
              </w:rPr>
              <w:t xml:space="preserve"> provide development days where they work alongside the staff to ensure correct implementation and coaching.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b/>
                <w:sz w:val="18"/>
                <w:szCs w:val="18"/>
              </w:rPr>
            </w:pPr>
            <w:r>
              <w:rPr>
                <w:sz w:val="18"/>
                <w:szCs w:val="18"/>
              </w:rPr>
              <w:t>K. Sparks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RWI assessment data phonics.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 xml:space="preserve">£3250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760"/>
        </w:trPr>
        <w:tc>
          <w:tcPr>
            <w:tcW w:w="1609" w:type="dxa"/>
            <w:vMerge/>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highlight w:val="yellow"/>
              </w:rPr>
            </w:pP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Targeted teaching to close gaps for individuals  in reading. </w:t>
            </w:r>
          </w:p>
          <w:p w:rsidR="00695032" w:rsidRDefault="00DB4E94">
            <w:pPr>
              <w:widowControl w:val="0"/>
              <w:pBdr>
                <w:top w:val="nil"/>
                <w:left w:val="nil"/>
                <w:bottom w:val="nil"/>
                <w:right w:val="nil"/>
                <w:between w:val="nil"/>
              </w:pBdr>
              <w:rPr>
                <w:sz w:val="18"/>
                <w:szCs w:val="18"/>
              </w:rPr>
            </w:pPr>
            <w:r>
              <w:rPr>
                <w:sz w:val="18"/>
                <w:szCs w:val="18"/>
              </w:rPr>
              <w:t xml:space="preserve"> (non teaching DHT ⅓ of time table intervention teaching.)Timetables teaching and quality teaching first</w:t>
            </w: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sz w:val="18"/>
                <w:szCs w:val="18"/>
              </w:rPr>
            </w:pPr>
            <w:r>
              <w:rPr>
                <w:sz w:val="18"/>
                <w:szCs w:val="18"/>
              </w:rPr>
              <w:t xml:space="preserve"> EEF small groups tuition + 4 months. </w:t>
            </w:r>
          </w:p>
          <w:p w:rsidR="00695032" w:rsidRDefault="00DB4E94">
            <w:pPr>
              <w:widowControl w:val="0"/>
              <w:pBdr>
                <w:top w:val="nil"/>
                <w:left w:val="nil"/>
                <w:bottom w:val="nil"/>
                <w:right w:val="nil"/>
                <w:between w:val="nil"/>
              </w:pBdr>
              <w:rPr>
                <w:sz w:val="18"/>
                <w:szCs w:val="18"/>
              </w:rPr>
            </w:pPr>
            <w:r>
              <w:rPr>
                <w:sz w:val="18"/>
                <w:szCs w:val="18"/>
              </w:rPr>
              <w:t>100% of targeted pupils met  ARE in 2018-19</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Tracking of individual pupils progress. </w:t>
            </w:r>
          </w:p>
          <w:p w:rsidR="00695032" w:rsidRDefault="00DB4E94">
            <w:pPr>
              <w:widowControl w:val="0"/>
              <w:pBdr>
                <w:top w:val="nil"/>
                <w:left w:val="nil"/>
                <w:bottom w:val="nil"/>
                <w:right w:val="nil"/>
                <w:between w:val="nil"/>
              </w:pBdr>
              <w:rPr>
                <w:sz w:val="18"/>
                <w:szCs w:val="18"/>
                <w:highlight w:val="yellow"/>
              </w:rPr>
            </w:pPr>
            <w:r>
              <w:rPr>
                <w:sz w:val="18"/>
                <w:szCs w:val="18"/>
              </w:rPr>
              <w:t>Progress measure from base</w:t>
            </w:r>
            <w:r>
              <w:rPr>
                <w:sz w:val="18"/>
                <w:szCs w:val="18"/>
              </w:rPr>
              <w:t>line</w:t>
            </w:r>
            <w:r>
              <w:rPr>
                <w:sz w:val="18"/>
                <w:szCs w:val="18"/>
                <w:highlight w:val="yellow"/>
              </w:rPr>
              <w:t xml:space="preserve">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K. Sparks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Termly monitoring. </w:t>
            </w:r>
          </w:p>
          <w:p w:rsidR="00695032" w:rsidRDefault="00DB4E94">
            <w:pPr>
              <w:widowControl w:val="0"/>
              <w:pBdr>
                <w:top w:val="nil"/>
                <w:left w:val="nil"/>
                <w:bottom w:val="nil"/>
                <w:right w:val="nil"/>
                <w:between w:val="nil"/>
              </w:pBdr>
              <w:rPr>
                <w:sz w:val="18"/>
                <w:szCs w:val="18"/>
              </w:rPr>
            </w:pPr>
            <w:r>
              <w:rPr>
                <w:sz w:val="18"/>
                <w:szCs w:val="18"/>
              </w:rPr>
              <w:t>July outcomes for KS2</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£20,371</w:t>
            </w:r>
          </w:p>
          <w:p w:rsidR="00695032" w:rsidRDefault="00DB4E94">
            <w:pPr>
              <w:widowControl w:val="0"/>
              <w:rPr>
                <w:sz w:val="18"/>
                <w:szCs w:val="18"/>
              </w:rPr>
            </w:pPr>
            <w:r>
              <w:rPr>
                <w:sz w:val="18"/>
                <w:szCs w:val="18"/>
              </w:rPr>
              <w:t>(ER)</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62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rPr>
                <w:sz w:val="18"/>
                <w:szCs w:val="18"/>
              </w:rPr>
            </w:pPr>
            <w:r>
              <w:rPr>
                <w:sz w:val="18"/>
                <w:szCs w:val="18"/>
              </w:rPr>
              <w:t xml:space="preserve">Pupils with additional needs develop confidence and social interactions skills to gain skills for life. </w:t>
            </w:r>
          </w:p>
          <w:p w:rsidR="00695032" w:rsidRDefault="00DB4E94">
            <w:pPr>
              <w:rPr>
                <w:sz w:val="18"/>
                <w:szCs w:val="18"/>
              </w:rPr>
            </w:pPr>
            <w:r>
              <w:rPr>
                <w:sz w:val="18"/>
                <w:szCs w:val="18"/>
              </w:rPr>
              <w:t>Attendance for free school meal pupils is in line with attendance of non- free school meal pupils.</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Reduction of cost for enhancement visits to set the scene for learning. Reducing the cost of educational visits in school to allow greater opportunities to engage learners. </w:t>
            </w:r>
          </w:p>
          <w:p w:rsidR="00695032" w:rsidRDefault="00695032">
            <w:pPr>
              <w:widowControl w:val="0"/>
              <w:pBdr>
                <w:top w:val="nil"/>
                <w:left w:val="nil"/>
                <w:bottom w:val="nil"/>
                <w:right w:val="nil"/>
                <w:between w:val="nil"/>
              </w:pBdr>
              <w:rPr>
                <w:sz w:val="18"/>
                <w:szCs w:val="18"/>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Action research has demonstrated that there is greater involvement in learning of</w:t>
            </w:r>
            <w:r>
              <w:rPr>
                <w:sz w:val="18"/>
                <w:szCs w:val="18"/>
              </w:rPr>
              <w:t xml:space="preserve"> all children when topics are introduced following an enhancement activity. </w:t>
            </w:r>
          </w:p>
          <w:p w:rsidR="00695032" w:rsidRDefault="00DB4E94">
            <w:pPr>
              <w:widowControl w:val="0"/>
              <w:pBdr>
                <w:top w:val="nil"/>
                <w:left w:val="nil"/>
                <w:bottom w:val="nil"/>
                <w:right w:val="nil"/>
                <w:between w:val="nil"/>
              </w:pBdr>
              <w:rPr>
                <w:sz w:val="18"/>
                <w:szCs w:val="18"/>
              </w:rPr>
            </w:pPr>
            <w:r>
              <w:rPr>
                <w:sz w:val="18"/>
                <w:szCs w:val="18"/>
              </w:rPr>
              <w:t xml:space="preserve">CC case study. </w:t>
            </w:r>
          </w:p>
          <w:p w:rsidR="00695032" w:rsidRDefault="00695032">
            <w:pPr>
              <w:widowControl w:val="0"/>
              <w:pBdr>
                <w:top w:val="nil"/>
                <w:left w:val="nil"/>
                <w:bottom w:val="nil"/>
                <w:right w:val="nil"/>
                <w:between w:val="nil"/>
              </w:pBdr>
              <w:rPr>
                <w:sz w:val="18"/>
                <w:szCs w:val="18"/>
              </w:rPr>
            </w:pPr>
          </w:p>
          <w:p w:rsidR="00695032" w:rsidRDefault="00695032">
            <w:pPr>
              <w:widowControl w:val="0"/>
              <w:pBdr>
                <w:top w:val="nil"/>
                <w:left w:val="nil"/>
                <w:bottom w:val="nil"/>
                <w:right w:val="nil"/>
                <w:between w:val="nil"/>
              </w:pBdr>
              <w:rPr>
                <w:sz w:val="18"/>
                <w:szCs w:val="18"/>
              </w:rPr>
            </w:pP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Feedback will be taken from learners. </w:t>
            </w:r>
          </w:p>
          <w:p w:rsidR="00695032" w:rsidRDefault="00DB4E94">
            <w:pPr>
              <w:widowControl w:val="0"/>
              <w:pBdr>
                <w:top w:val="nil"/>
                <w:left w:val="nil"/>
                <w:bottom w:val="nil"/>
                <w:right w:val="nil"/>
                <w:between w:val="nil"/>
              </w:pBdr>
              <w:rPr>
                <w:sz w:val="18"/>
                <w:szCs w:val="18"/>
              </w:rPr>
            </w:pPr>
            <w:r>
              <w:rPr>
                <w:sz w:val="18"/>
                <w:szCs w:val="18"/>
              </w:rPr>
              <w:t xml:space="preserve">Monitoring will look at the impact of educational visits on reading and writing.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G. Jeynes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Termly monitoring.</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£5000</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highlight w:val="yellow"/>
              </w:rPr>
            </w:pPr>
          </w:p>
        </w:tc>
      </w:tr>
      <w:tr w:rsidR="00695032">
        <w:trPr>
          <w:trHeight w:val="62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spacing w:line="240" w:lineRule="auto"/>
              <w:rPr>
                <w:sz w:val="18"/>
                <w:szCs w:val="18"/>
              </w:rPr>
            </w:pPr>
            <w:r>
              <w:rPr>
                <w:sz w:val="18"/>
                <w:szCs w:val="18"/>
              </w:rPr>
              <w:t>To reduce the impact of low speech and language skills in EYFS and KS1 through ICAN interventions</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sz w:val="18"/>
                <w:szCs w:val="18"/>
              </w:rPr>
            </w:pPr>
            <w:r>
              <w:rPr>
                <w:sz w:val="18"/>
                <w:szCs w:val="18"/>
              </w:rPr>
              <w:t xml:space="preserve">Across the federation a joint project to undertake the ICan implement systems and processes and develop a network of training opportunities. This is  sustainable and </w:t>
            </w:r>
            <w:r>
              <w:rPr>
                <w:sz w:val="18"/>
                <w:szCs w:val="18"/>
              </w:rPr>
              <w:lastRenderedPageBreak/>
              <w:t xml:space="preserve">will continue to impact from previous years spend. </w:t>
            </w:r>
          </w:p>
          <w:p w:rsidR="00695032" w:rsidRDefault="00DB4E94">
            <w:pPr>
              <w:widowControl w:val="0"/>
              <w:rPr>
                <w:sz w:val="18"/>
                <w:szCs w:val="18"/>
              </w:rPr>
            </w:pPr>
            <w:r>
              <w:rPr>
                <w:sz w:val="18"/>
                <w:szCs w:val="18"/>
              </w:rPr>
              <w:t xml:space="preserve">Inhouse training </w:t>
            </w:r>
          </w:p>
          <w:p w:rsidR="00695032" w:rsidRDefault="00695032">
            <w:pPr>
              <w:widowControl w:val="0"/>
              <w:rPr>
                <w:sz w:val="18"/>
                <w:szCs w:val="18"/>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lastRenderedPageBreak/>
              <w:t>Oral language inter</w:t>
            </w:r>
            <w:r>
              <w:rPr>
                <w:sz w:val="18"/>
                <w:szCs w:val="18"/>
              </w:rPr>
              <w:t>ventions are deemed to provide +5 months impact on pupil achievement. EEF</w:t>
            </w:r>
          </w:p>
          <w:p w:rsidR="00695032" w:rsidRDefault="00DB4E94">
            <w:pPr>
              <w:widowControl w:val="0"/>
              <w:pBdr>
                <w:top w:val="nil"/>
                <w:left w:val="nil"/>
                <w:bottom w:val="nil"/>
                <w:right w:val="nil"/>
                <w:between w:val="nil"/>
              </w:pBdr>
              <w:rPr>
                <w:sz w:val="18"/>
                <w:szCs w:val="18"/>
              </w:rPr>
            </w:pPr>
            <w:r>
              <w:rPr>
                <w:sz w:val="18"/>
                <w:szCs w:val="18"/>
              </w:rPr>
              <w:t xml:space="preserve">ICAN direct research +18 months on completion of ICAN programme. </w:t>
            </w:r>
          </w:p>
          <w:p w:rsidR="00695032" w:rsidRDefault="00DB4E94">
            <w:pPr>
              <w:widowControl w:val="0"/>
              <w:pBdr>
                <w:top w:val="nil"/>
                <w:left w:val="nil"/>
                <w:bottom w:val="nil"/>
                <w:right w:val="nil"/>
                <w:between w:val="nil"/>
              </w:pBdr>
              <w:rPr>
                <w:sz w:val="18"/>
                <w:szCs w:val="18"/>
              </w:rPr>
            </w:pPr>
            <w:r>
              <w:rPr>
                <w:sz w:val="18"/>
                <w:szCs w:val="18"/>
              </w:rPr>
              <w:t xml:space="preserve">Dockerill, J. and Lindsay, G. Specific Speech and Language Difficulties and </w:t>
            </w:r>
            <w:r>
              <w:rPr>
                <w:sz w:val="18"/>
                <w:szCs w:val="18"/>
              </w:rPr>
              <w:lastRenderedPageBreak/>
              <w:t>Literacy.</w:t>
            </w:r>
          </w:p>
          <w:p w:rsidR="00695032" w:rsidRDefault="00DB4E94">
            <w:pPr>
              <w:widowControl w:val="0"/>
              <w:pBdr>
                <w:top w:val="nil"/>
                <w:left w:val="nil"/>
                <w:bottom w:val="nil"/>
                <w:right w:val="nil"/>
                <w:between w:val="nil"/>
              </w:pBdr>
              <w:rPr>
                <w:sz w:val="18"/>
                <w:szCs w:val="18"/>
              </w:rPr>
            </w:pPr>
            <w:r>
              <w:rPr>
                <w:sz w:val="18"/>
                <w:szCs w:val="18"/>
              </w:rPr>
              <w:t>T. Nunes and P. Bryant (eds) (</w:t>
            </w:r>
            <w:r>
              <w:rPr>
                <w:sz w:val="18"/>
                <w:szCs w:val="18"/>
              </w:rPr>
              <w:t>2003) Handbook of Children’s Literacy pp 403-435 L</w:t>
            </w:r>
          </w:p>
          <w:p w:rsidR="00695032" w:rsidRDefault="00DB4E94">
            <w:pPr>
              <w:widowControl w:val="0"/>
              <w:pBdr>
                <w:top w:val="nil"/>
                <w:left w:val="nil"/>
                <w:bottom w:val="nil"/>
                <w:right w:val="nil"/>
                <w:between w:val="nil"/>
              </w:pBdr>
              <w:rPr>
                <w:sz w:val="18"/>
                <w:szCs w:val="18"/>
              </w:rPr>
            </w:pPr>
            <w:hyperlink r:id="rId7">
              <w:r>
                <w:rPr>
                  <w:color w:val="1155CC"/>
                  <w:sz w:val="18"/>
                  <w:szCs w:val="18"/>
                  <w:u w:val="single"/>
                </w:rPr>
                <w:t>http://www.ican.org.uk/download%20files/ReadOnGetOn%20I%20CAN%20SLCN%20and%20literacy.pdf</w:t>
              </w:r>
            </w:hyperlink>
          </w:p>
          <w:p w:rsidR="00695032" w:rsidRDefault="00695032">
            <w:pPr>
              <w:widowControl w:val="0"/>
              <w:pBdr>
                <w:top w:val="nil"/>
                <w:left w:val="nil"/>
                <w:bottom w:val="nil"/>
                <w:right w:val="nil"/>
                <w:between w:val="nil"/>
              </w:pBdr>
              <w:rPr>
                <w:sz w:val="18"/>
                <w:szCs w:val="18"/>
              </w:rPr>
            </w:pP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lastRenderedPageBreak/>
              <w:t xml:space="preserve">ICAN is an accredited course and is moderated and evaluated externally. </w:t>
            </w:r>
          </w:p>
          <w:p w:rsidR="00695032" w:rsidRDefault="00DB4E94">
            <w:pPr>
              <w:widowControl w:val="0"/>
              <w:pBdr>
                <w:top w:val="nil"/>
                <w:left w:val="nil"/>
                <w:bottom w:val="nil"/>
                <w:right w:val="nil"/>
                <w:between w:val="nil"/>
              </w:pBdr>
              <w:rPr>
                <w:sz w:val="18"/>
                <w:szCs w:val="18"/>
              </w:rPr>
            </w:pPr>
            <w:r>
              <w:rPr>
                <w:sz w:val="18"/>
                <w:szCs w:val="18"/>
              </w:rPr>
              <w:t xml:space="preserve">The ICAN programme is a measured impact programme and outcomes will be set against a baseline assessment.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D Watson</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I can assessment data</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£2500</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580"/>
        </w:trPr>
        <w:tc>
          <w:tcPr>
            <w:tcW w:w="9190" w:type="dxa"/>
            <w:gridSpan w:val="5"/>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jc w:val="right"/>
              <w:rPr>
                <w:b/>
              </w:rPr>
            </w:pPr>
            <w:r>
              <w:rPr>
                <w:b/>
              </w:rPr>
              <w:lastRenderedPageBreak/>
              <w:t>Total budgeted cost</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4</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360"/>
        </w:trPr>
        <w:tc>
          <w:tcPr>
            <w:tcW w:w="10778" w:type="dxa"/>
            <w:gridSpan w:val="6"/>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ind w:left="840" w:hanging="420"/>
              <w:rPr>
                <w:b/>
                <w:shd w:val="clear" w:color="auto" w:fill="26C42B"/>
              </w:rPr>
            </w:pPr>
            <w:r>
              <w:rPr>
                <w:rFonts w:ascii="Times New Roman" w:eastAsia="Times New Roman" w:hAnsi="Times New Roman" w:cs="Times New Roman"/>
                <w:sz w:val="14"/>
                <w:szCs w:val="14"/>
              </w:rPr>
              <w:t xml:space="preserve">   </w:t>
            </w:r>
            <w:r>
              <w:rPr>
                <w:b/>
              </w:rPr>
              <w:t>ii.</w:t>
            </w:r>
            <w:r>
              <w:rPr>
                <w:rFonts w:ascii="Times New Roman" w:eastAsia="Times New Roman" w:hAnsi="Times New Roman" w:cs="Times New Roman"/>
                <w:sz w:val="14"/>
                <w:szCs w:val="14"/>
              </w:rPr>
              <w:t xml:space="preserve">   </w:t>
            </w:r>
            <w:r>
              <w:rPr>
                <w:b/>
              </w:rPr>
              <w:t>Targeted support</w:t>
            </w:r>
          </w:p>
        </w:tc>
        <w:tc>
          <w:tcPr>
            <w:tcW w:w="1588" w:type="dxa"/>
            <w:tcBorders>
              <w:bottom w:val="single" w:sz="8" w:space="0" w:color="000000"/>
              <w:right w:val="single" w:sz="8" w:space="0" w:color="000000"/>
            </w:tcBorders>
            <w:shd w:val="clear" w:color="auto" w:fill="26C42B"/>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1588" w:type="dxa"/>
            <w:tcBorders>
              <w:bottom w:val="single" w:sz="8" w:space="0" w:color="000000"/>
              <w:right w:val="single" w:sz="8" w:space="0" w:color="000000"/>
            </w:tcBorders>
            <w:shd w:val="clear" w:color="auto" w:fill="26C42B"/>
            <w:tcMar>
              <w:top w:w="100" w:type="dxa"/>
              <w:left w:w="100" w:type="dxa"/>
              <w:bottom w:w="100" w:type="dxa"/>
              <w:right w:w="100" w:type="dxa"/>
            </w:tcMar>
          </w:tcPr>
          <w:p w:rsidR="00695032" w:rsidRDefault="00695032">
            <w:pPr>
              <w:widowControl w:val="0"/>
              <w:pBdr>
                <w:top w:val="nil"/>
                <w:left w:val="nil"/>
                <w:bottom w:val="nil"/>
                <w:right w:val="nil"/>
                <w:between w:val="nil"/>
              </w:pBdr>
            </w:pPr>
          </w:p>
        </w:tc>
      </w:tr>
      <w:tr w:rsidR="00695032">
        <w:trPr>
          <w:trHeight w:val="102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Desired outcome</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Chosen action/approach</w:t>
            </w: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What is the evidence and rationale for this choice?</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How will you ensure it is implemented well?</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Staff lead</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When will you review implementation?</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b/>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 xml:space="preserve">Monitoring </w:t>
            </w:r>
          </w:p>
        </w:tc>
      </w:tr>
      <w:tr w:rsidR="00695032">
        <w:trPr>
          <w:trHeight w:val="68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b/>
                <w:sz w:val="18"/>
                <w:szCs w:val="18"/>
              </w:rPr>
            </w:pPr>
            <w:r>
              <w:rPr>
                <w:b/>
                <w:sz w:val="18"/>
                <w:szCs w:val="18"/>
              </w:rPr>
              <w:t xml:space="preserve">  Improve attainment at the end of KS2 for disadvantaged pupils in reading and maths  to 80%</w:t>
            </w:r>
          </w:p>
          <w:p w:rsidR="00695032" w:rsidRDefault="00695032">
            <w:pPr>
              <w:widowControl w:val="0"/>
              <w:pBdr>
                <w:top w:val="nil"/>
                <w:left w:val="nil"/>
                <w:bottom w:val="nil"/>
                <w:right w:val="nil"/>
                <w:between w:val="nil"/>
              </w:pBdr>
              <w:rPr>
                <w:b/>
                <w:sz w:val="18"/>
                <w:szCs w:val="18"/>
              </w:rPr>
            </w:pPr>
          </w:p>
          <w:p w:rsidR="00695032" w:rsidRDefault="00695032">
            <w:pPr>
              <w:widowControl w:val="0"/>
              <w:pBdr>
                <w:top w:val="nil"/>
                <w:left w:val="nil"/>
                <w:bottom w:val="nil"/>
                <w:right w:val="nil"/>
                <w:between w:val="nil"/>
              </w:pBdr>
              <w:rPr>
                <w:b/>
                <w:sz w:val="18"/>
                <w:szCs w:val="18"/>
                <w:highlight w:val="yellow"/>
              </w:rPr>
            </w:pP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1:1 tuition for target individuals (4 in 2018-19 cohort reading/ </w:t>
            </w:r>
          </w:p>
          <w:p w:rsidR="00695032" w:rsidRDefault="00695032">
            <w:pPr>
              <w:widowControl w:val="0"/>
              <w:pBdr>
                <w:top w:val="nil"/>
                <w:left w:val="nil"/>
                <w:bottom w:val="nil"/>
                <w:right w:val="nil"/>
                <w:between w:val="nil"/>
              </w:pBdr>
              <w:rPr>
                <w:sz w:val="18"/>
                <w:szCs w:val="18"/>
              </w:rPr>
            </w:pPr>
          </w:p>
          <w:p w:rsidR="00695032" w:rsidRDefault="00DB4E94">
            <w:pPr>
              <w:widowControl w:val="0"/>
              <w:pBdr>
                <w:top w:val="nil"/>
                <w:left w:val="nil"/>
                <w:bottom w:val="nil"/>
                <w:right w:val="nil"/>
                <w:between w:val="nil"/>
              </w:pBdr>
              <w:rPr>
                <w:sz w:val="18"/>
                <w:szCs w:val="18"/>
              </w:rPr>
            </w:pPr>
            <w:r>
              <w:rPr>
                <w:sz w:val="18"/>
                <w:szCs w:val="18"/>
              </w:rPr>
              <w:t xml:space="preserve"> 1:1 tuition for target individuals  6 in maths Yr6)</w:t>
            </w:r>
          </w:p>
          <w:p w:rsidR="00695032" w:rsidRDefault="00695032">
            <w:pPr>
              <w:widowControl w:val="0"/>
              <w:pBdr>
                <w:top w:val="nil"/>
                <w:left w:val="nil"/>
                <w:bottom w:val="nil"/>
                <w:right w:val="nil"/>
                <w:between w:val="nil"/>
              </w:pBdr>
              <w:rPr>
                <w:sz w:val="18"/>
                <w:szCs w:val="18"/>
              </w:rPr>
            </w:pPr>
          </w:p>
          <w:p w:rsidR="00695032" w:rsidRDefault="00695032">
            <w:pPr>
              <w:widowControl w:val="0"/>
              <w:pBdr>
                <w:top w:val="nil"/>
                <w:left w:val="nil"/>
                <w:bottom w:val="nil"/>
                <w:right w:val="nil"/>
                <w:between w:val="nil"/>
              </w:pBdr>
              <w:rPr>
                <w:sz w:val="18"/>
                <w:szCs w:val="18"/>
              </w:rPr>
            </w:pPr>
          </w:p>
          <w:p w:rsidR="00695032" w:rsidRDefault="00695032">
            <w:pPr>
              <w:widowControl w:val="0"/>
              <w:rPr>
                <w:sz w:val="18"/>
                <w:szCs w:val="18"/>
              </w:rPr>
            </w:pPr>
          </w:p>
          <w:p w:rsidR="00695032" w:rsidRDefault="00695032">
            <w:pPr>
              <w:widowControl w:val="0"/>
              <w:rPr>
                <w:sz w:val="18"/>
                <w:szCs w:val="18"/>
                <w:highlight w:val="yellow"/>
              </w:rPr>
            </w:pPr>
          </w:p>
          <w:p w:rsidR="00695032" w:rsidRDefault="00695032">
            <w:pPr>
              <w:widowControl w:val="0"/>
              <w:rPr>
                <w:sz w:val="18"/>
                <w:szCs w:val="18"/>
                <w:highlight w:val="yellow"/>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1:1 tuition gain of +5</w:t>
            </w:r>
          </w:p>
          <w:p w:rsidR="00695032" w:rsidRDefault="00DB4E94">
            <w:pPr>
              <w:widowControl w:val="0"/>
              <w:pBdr>
                <w:top w:val="nil"/>
                <w:left w:val="nil"/>
                <w:bottom w:val="nil"/>
                <w:right w:val="nil"/>
                <w:between w:val="nil"/>
              </w:pBdr>
              <w:rPr>
                <w:color w:val="2B3A42"/>
                <w:sz w:val="18"/>
                <w:szCs w:val="18"/>
                <w:highlight w:val="white"/>
              </w:rPr>
            </w:pPr>
            <w:r>
              <w:rPr>
                <w:color w:val="2B3A42"/>
                <w:sz w:val="18"/>
                <w:szCs w:val="18"/>
                <w:highlight w:val="white"/>
              </w:rPr>
              <w:t xml:space="preserve">Short, regular sessions (about 30 minutes, 3-5 times a week) over a set period of time (6-12 weeks) appear to result in optimum impact. </w:t>
            </w:r>
          </w:p>
          <w:p w:rsidR="00695032" w:rsidRDefault="00DB4E94">
            <w:pPr>
              <w:widowControl w:val="0"/>
              <w:pBdr>
                <w:top w:val="nil"/>
                <w:left w:val="nil"/>
                <w:bottom w:val="nil"/>
                <w:right w:val="nil"/>
                <w:between w:val="nil"/>
              </w:pBdr>
              <w:rPr>
                <w:sz w:val="18"/>
                <w:szCs w:val="18"/>
              </w:rPr>
            </w:pPr>
            <w:r>
              <w:rPr>
                <w:color w:val="2B3A42"/>
                <w:sz w:val="18"/>
                <w:szCs w:val="18"/>
                <w:highlight w:val="white"/>
              </w:rPr>
              <w:t xml:space="preserve">Evidence also suggests tuition should be additional to, but explicitly linked with, normal teaching, and that teachers </w:t>
            </w:r>
            <w:r>
              <w:rPr>
                <w:color w:val="2B3A42"/>
                <w:sz w:val="18"/>
                <w:szCs w:val="18"/>
                <w:highlight w:val="white"/>
              </w:rPr>
              <w:t>should monitor progress to ensure the tutoring is beneficial.</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Targeted pupils through effective data analysis. </w:t>
            </w:r>
          </w:p>
          <w:p w:rsidR="00695032" w:rsidRDefault="00DB4E94">
            <w:pPr>
              <w:widowControl w:val="0"/>
              <w:pBdr>
                <w:top w:val="nil"/>
                <w:left w:val="nil"/>
                <w:bottom w:val="nil"/>
                <w:right w:val="nil"/>
                <w:between w:val="nil"/>
              </w:pBdr>
              <w:rPr>
                <w:sz w:val="18"/>
                <w:szCs w:val="18"/>
              </w:rPr>
            </w:pPr>
            <w:r>
              <w:rPr>
                <w:sz w:val="18"/>
                <w:szCs w:val="18"/>
              </w:rPr>
              <w:t>Pre planning sessions with class teacher to ensure 1:1 tutor has a clear knowledge and understanding of their target pupil and specific priorit</w:t>
            </w:r>
            <w:r>
              <w:rPr>
                <w:sz w:val="18"/>
                <w:szCs w:val="18"/>
              </w:rPr>
              <w:t xml:space="preserve">ies have been identified. .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K. Sparks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Start and end of 10 week block assessment data on itrack.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£5000</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720"/>
        </w:trPr>
        <w:tc>
          <w:tcPr>
            <w:tcW w:w="1609" w:type="dxa"/>
            <w:vMerge w:val="restart"/>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spacing w:line="240" w:lineRule="auto"/>
              <w:rPr>
                <w:sz w:val="18"/>
                <w:szCs w:val="18"/>
              </w:rPr>
            </w:pPr>
            <w:r>
              <w:rPr>
                <w:sz w:val="18"/>
                <w:szCs w:val="18"/>
              </w:rPr>
              <w:lastRenderedPageBreak/>
              <w:t xml:space="preserve">Improve attainment in reading across school so disadvantaged pupils particularly disadvantaged boys attain in line with non disadvantaged pupils. </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sz w:val="18"/>
                <w:szCs w:val="18"/>
              </w:rPr>
            </w:pPr>
            <w:r>
              <w:rPr>
                <w:sz w:val="18"/>
                <w:szCs w:val="18"/>
              </w:rPr>
              <w:t xml:space="preserve">Targeted individual reading programmes focusing on teaching comprehension. </w:t>
            </w:r>
          </w:p>
          <w:p w:rsidR="00695032" w:rsidRDefault="00DB4E94">
            <w:pPr>
              <w:widowControl w:val="0"/>
              <w:rPr>
                <w:sz w:val="18"/>
                <w:szCs w:val="18"/>
              </w:rPr>
            </w:pPr>
            <w:r>
              <w:rPr>
                <w:sz w:val="18"/>
                <w:szCs w:val="18"/>
              </w:rPr>
              <w:t xml:space="preserve"> </w:t>
            </w:r>
            <w:r>
              <w:rPr>
                <w:sz w:val="18"/>
                <w:szCs w:val="18"/>
                <w:highlight w:val="yellow"/>
              </w:rPr>
              <w:t>FT TA in years 4, 5 and 6 peer to peer reader in breakfast club and story time.</w:t>
            </w:r>
            <w:r>
              <w:rPr>
                <w:sz w:val="18"/>
                <w:szCs w:val="18"/>
              </w:rPr>
              <w:t xml:space="preserve"> </w:t>
            </w:r>
          </w:p>
          <w:p w:rsidR="00695032" w:rsidRDefault="00DB4E94">
            <w:pPr>
              <w:widowControl w:val="0"/>
              <w:rPr>
                <w:sz w:val="18"/>
                <w:szCs w:val="18"/>
              </w:rPr>
            </w:pPr>
            <w:r>
              <w:rPr>
                <w:sz w:val="18"/>
                <w:szCs w:val="18"/>
              </w:rPr>
              <w:t>Non- pupil premium funded. timetabled</w:t>
            </w: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color w:val="2B3A42"/>
                <w:sz w:val="18"/>
                <w:szCs w:val="18"/>
                <w:highlight w:val="white"/>
              </w:rPr>
            </w:pPr>
            <w:r>
              <w:rPr>
                <w:color w:val="2B3A42"/>
                <w:sz w:val="18"/>
                <w:szCs w:val="18"/>
                <w:highlight w:val="white"/>
              </w:rPr>
              <w:t>On average, reading comprehension approaches improve learnin</w:t>
            </w:r>
            <w:r>
              <w:rPr>
                <w:color w:val="2B3A42"/>
                <w:sz w:val="18"/>
                <w:szCs w:val="18"/>
                <w:highlight w:val="white"/>
              </w:rPr>
              <w:t>g by an additional five months’ progress over the course of a school year.</w:t>
            </w:r>
          </w:p>
          <w:p w:rsidR="00695032" w:rsidRDefault="00DB4E94">
            <w:pPr>
              <w:widowControl w:val="0"/>
              <w:rPr>
                <w:color w:val="2B3A42"/>
                <w:sz w:val="18"/>
                <w:szCs w:val="18"/>
                <w:highlight w:val="white"/>
              </w:rPr>
            </w:pPr>
            <w:r>
              <w:rPr>
                <w:b/>
                <w:sz w:val="18"/>
                <w:szCs w:val="18"/>
              </w:rPr>
              <w:t xml:space="preserve"> </w:t>
            </w:r>
            <w:r>
              <w:rPr>
                <w:color w:val="2B3A42"/>
                <w:sz w:val="18"/>
                <w:szCs w:val="18"/>
                <w:highlight w:val="white"/>
              </w:rPr>
              <w:t>Reducing class size appears to result in around 3 months additional progress for pupils, on average. EEF</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Wednesday 3.00-3.30 Y6 readers engage with younger targeted pupils to secure reading- monitored by Literacy Lead.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G. Jeynes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Tracking and teacher assessment each half term. Personalised learning summary.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 xml:space="preserve"> £66,086</w:t>
            </w:r>
          </w:p>
          <w:p w:rsidR="00695032" w:rsidRDefault="00DB4E94">
            <w:pPr>
              <w:widowControl w:val="0"/>
              <w:rPr>
                <w:sz w:val="18"/>
                <w:szCs w:val="18"/>
              </w:rPr>
            </w:pPr>
            <w:r>
              <w:rPr>
                <w:sz w:val="18"/>
                <w:szCs w:val="18"/>
              </w:rPr>
              <w:t>(JP/ LM/AA/MD)</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720"/>
        </w:trPr>
        <w:tc>
          <w:tcPr>
            <w:tcW w:w="1609" w:type="dxa"/>
            <w:vMerge/>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rPr>
                <w:sz w:val="18"/>
                <w:szCs w:val="18"/>
              </w:rPr>
            </w:pP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sz w:val="18"/>
                <w:szCs w:val="18"/>
              </w:rPr>
            </w:pPr>
            <w:r>
              <w:rPr>
                <w:sz w:val="18"/>
                <w:szCs w:val="18"/>
              </w:rPr>
              <w:t xml:space="preserve">KS1 and </w:t>
            </w:r>
            <w:r>
              <w:rPr>
                <w:sz w:val="18"/>
                <w:szCs w:val="18"/>
                <w:highlight w:val="yellow"/>
              </w:rPr>
              <w:t xml:space="preserve">y3 Daily </w:t>
            </w:r>
            <w:r>
              <w:rPr>
                <w:sz w:val="18"/>
                <w:szCs w:val="18"/>
              </w:rPr>
              <w:t xml:space="preserve">phonics and reading  intervention for targeted pupils </w:t>
            </w:r>
          </w:p>
          <w:p w:rsidR="00695032" w:rsidRDefault="00DB4E94">
            <w:pPr>
              <w:widowControl w:val="0"/>
              <w:rPr>
                <w:sz w:val="18"/>
                <w:szCs w:val="18"/>
              </w:rPr>
            </w:pPr>
            <w:r>
              <w:rPr>
                <w:sz w:val="18"/>
                <w:szCs w:val="18"/>
              </w:rPr>
              <w:t>£3000</w:t>
            </w: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color w:val="2B3A42"/>
                <w:sz w:val="18"/>
                <w:szCs w:val="18"/>
                <w:highlight w:val="white"/>
              </w:rPr>
            </w:pPr>
            <w:r>
              <w:rPr>
                <w:color w:val="2B3A42"/>
                <w:sz w:val="18"/>
                <w:szCs w:val="18"/>
                <w:highlight w:val="white"/>
              </w:rPr>
              <w:t>EEF +4</w:t>
            </w:r>
          </w:p>
          <w:p w:rsidR="00695032" w:rsidRDefault="00DB4E94">
            <w:pPr>
              <w:widowControl w:val="0"/>
              <w:rPr>
                <w:sz w:val="18"/>
                <w:szCs w:val="18"/>
              </w:rPr>
            </w:pPr>
            <w:r>
              <w:rPr>
                <w:color w:val="2B3A42"/>
                <w:sz w:val="18"/>
                <w:szCs w:val="18"/>
                <w:highlight w:val="white"/>
              </w:rPr>
              <w:t>Research suggests that phonics is particularly beneficial for younger learners (4-7 year olds) as they begin to read. Teaching phonics is more effective on average than other approaches to</w:t>
            </w:r>
            <w:r>
              <w:rPr>
                <w:color w:val="2B3A42"/>
                <w:sz w:val="18"/>
                <w:szCs w:val="18"/>
                <w:highlight w:val="white"/>
              </w:rPr>
              <w:t xml:space="preserve"> early reading. </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Monitoring cycle.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G. Jeynes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Tracking and teacher assessment each half term. Intervention summary.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£7979</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highlight w:val="yellow"/>
              </w:rPr>
            </w:pPr>
          </w:p>
        </w:tc>
      </w:tr>
      <w:tr w:rsidR="00695032">
        <w:trPr>
          <w:trHeight w:val="72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b/>
                <w:sz w:val="18"/>
                <w:szCs w:val="18"/>
              </w:rPr>
              <w:t xml:space="preserve">EYFS PP </w:t>
            </w:r>
            <w:r>
              <w:rPr>
                <w:sz w:val="18"/>
                <w:szCs w:val="18"/>
              </w:rPr>
              <w:br/>
              <w:t xml:space="preserve">To close the disadvantaged gap in communication, language and learning by the end of reception  </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Speech and language therapist (not linked to language unit)  provides targeted support to pupils with a priority on disadvantaged pupils. 1 day per week. </w:t>
            </w:r>
          </w:p>
          <w:p w:rsidR="00695032" w:rsidRDefault="00695032">
            <w:pPr>
              <w:widowControl w:val="0"/>
              <w:pBdr>
                <w:top w:val="nil"/>
                <w:left w:val="nil"/>
                <w:bottom w:val="nil"/>
                <w:right w:val="nil"/>
                <w:between w:val="nil"/>
              </w:pBdr>
              <w:rPr>
                <w:sz w:val="18"/>
                <w:szCs w:val="18"/>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color w:val="2B3A42"/>
                <w:sz w:val="18"/>
                <w:szCs w:val="18"/>
                <w:highlight w:val="white"/>
              </w:rPr>
              <w:t>Studies of oral language interventions consistently show positive benefits on learning, including oral language skills and reading comprehension. On average, pupils who participate in oral language interventions make approximately five months' additional p</w:t>
            </w:r>
            <w:r>
              <w:rPr>
                <w:color w:val="2B3A42"/>
                <w:sz w:val="18"/>
                <w:szCs w:val="18"/>
                <w:highlight w:val="white"/>
              </w:rPr>
              <w:t>rogress over the course of a year.</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rPr>
                <w:sz w:val="18"/>
                <w:szCs w:val="18"/>
              </w:rPr>
            </w:pP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H Richardson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Data tracking and improved outcomes for pupils. </w:t>
            </w:r>
          </w:p>
          <w:p w:rsidR="00695032" w:rsidRDefault="00DB4E94">
            <w:pPr>
              <w:widowControl w:val="0"/>
              <w:pBdr>
                <w:top w:val="nil"/>
                <w:left w:val="nil"/>
                <w:bottom w:val="nil"/>
                <w:right w:val="nil"/>
                <w:between w:val="nil"/>
              </w:pBdr>
              <w:rPr>
                <w:sz w:val="18"/>
                <w:szCs w:val="18"/>
              </w:rPr>
            </w:pPr>
            <w:r>
              <w:rPr>
                <w:sz w:val="18"/>
                <w:szCs w:val="18"/>
              </w:rPr>
              <w:t xml:space="preserve">% of pupils reaching GLD.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£3000</w:t>
            </w:r>
          </w:p>
          <w:p w:rsidR="00695032" w:rsidRDefault="00DB4E94">
            <w:pPr>
              <w:widowControl w:val="0"/>
              <w:pBdr>
                <w:top w:val="nil"/>
                <w:left w:val="nil"/>
                <w:bottom w:val="nil"/>
                <w:right w:val="nil"/>
                <w:between w:val="nil"/>
              </w:pBdr>
              <w:rPr>
                <w:sz w:val="18"/>
                <w:szCs w:val="18"/>
              </w:rPr>
            </w:pPr>
            <w:r>
              <w:rPr>
                <w:sz w:val="18"/>
                <w:szCs w:val="18"/>
              </w:rPr>
              <w:t>Metis</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660"/>
        </w:trPr>
        <w:tc>
          <w:tcPr>
            <w:tcW w:w="9190" w:type="dxa"/>
            <w:gridSpan w:val="5"/>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jc w:val="right"/>
              <w:rPr>
                <w:b/>
              </w:rPr>
            </w:pPr>
            <w:r>
              <w:rPr>
                <w:b/>
              </w:rPr>
              <w:lastRenderedPageBreak/>
              <w:t>Total budgeted cost</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w:t>
            </w:r>
          </w:p>
          <w:p w:rsidR="00695032" w:rsidRDefault="00695032">
            <w:pPr>
              <w:widowControl w:val="0"/>
              <w:pBdr>
                <w:top w:val="nil"/>
                <w:left w:val="nil"/>
                <w:bottom w:val="nil"/>
                <w:right w:val="nil"/>
                <w:between w:val="nil"/>
              </w:pBdr>
              <w:rPr>
                <w:sz w:val="18"/>
                <w:szCs w:val="18"/>
              </w:rPr>
            </w:pPr>
          </w:p>
          <w:p w:rsidR="00695032" w:rsidRDefault="00695032">
            <w:pPr>
              <w:widowControl w:val="0"/>
              <w:pBdr>
                <w:top w:val="nil"/>
                <w:left w:val="nil"/>
                <w:bottom w:val="nil"/>
                <w:right w:val="nil"/>
                <w:between w:val="nil"/>
              </w:pBdr>
              <w:rPr>
                <w:sz w:val="18"/>
                <w:szCs w:val="18"/>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360"/>
        </w:trPr>
        <w:tc>
          <w:tcPr>
            <w:tcW w:w="10778" w:type="dxa"/>
            <w:gridSpan w:val="6"/>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ind w:left="840" w:hanging="420"/>
              <w:rPr>
                <w:b/>
              </w:rPr>
            </w:pPr>
            <w:r>
              <w:rPr>
                <w:rFonts w:ascii="Times New Roman" w:eastAsia="Times New Roman" w:hAnsi="Times New Roman" w:cs="Times New Roman"/>
                <w:sz w:val="14"/>
                <w:szCs w:val="14"/>
              </w:rPr>
              <w:t xml:space="preserve"> </w:t>
            </w:r>
            <w:r>
              <w:rPr>
                <w:b/>
              </w:rPr>
              <w:t>iii.</w:t>
            </w:r>
            <w:r>
              <w:rPr>
                <w:rFonts w:ascii="Times New Roman" w:eastAsia="Times New Roman" w:hAnsi="Times New Roman" w:cs="Times New Roman"/>
                <w:sz w:val="14"/>
                <w:szCs w:val="14"/>
              </w:rPr>
              <w:t xml:space="preserve">   </w:t>
            </w:r>
            <w:r>
              <w:rPr>
                <w:b/>
              </w:rPr>
              <w:t>Other approaches</w:t>
            </w:r>
          </w:p>
        </w:tc>
        <w:tc>
          <w:tcPr>
            <w:tcW w:w="1588" w:type="dxa"/>
            <w:tcBorders>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c>
          <w:tcPr>
            <w:tcW w:w="1588" w:type="dxa"/>
            <w:tcBorders>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pPr>
          </w:p>
        </w:tc>
      </w:tr>
      <w:tr w:rsidR="00695032">
        <w:trPr>
          <w:trHeight w:val="1020"/>
        </w:trPr>
        <w:tc>
          <w:tcPr>
            <w:tcW w:w="1609" w:type="dxa"/>
            <w:tcBorders>
              <w:top w:val="nil"/>
              <w:left w:val="single" w:sz="8" w:space="0" w:color="000000"/>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Desired outcome</w:t>
            </w:r>
          </w:p>
        </w:tc>
        <w:tc>
          <w:tcPr>
            <w:tcW w:w="1814" w:type="dxa"/>
            <w:tcBorders>
              <w:top w:val="nil"/>
              <w:left w:val="nil"/>
              <w:bottom w:val="single" w:sz="8" w:space="0" w:color="000000"/>
              <w:right w:val="single" w:sz="8" w:space="0" w:color="FFFFFF"/>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Chosen action/approach</w:t>
            </w:r>
          </w:p>
        </w:tc>
        <w:tc>
          <w:tcPr>
            <w:tcW w:w="2527" w:type="dxa"/>
            <w:tcBorders>
              <w:top w:val="single" w:sz="8" w:space="0" w:color="FFFFFF"/>
              <w:left w:val="single" w:sz="8" w:space="0" w:color="FFFFFF"/>
              <w:bottom w:val="single" w:sz="8" w:space="0" w:color="FFFFFF"/>
              <w:right w:val="single" w:sz="8" w:space="0" w:color="FFFFFF"/>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What is th</w:t>
            </w:r>
            <w:r>
              <w:rPr>
                <w:b/>
              </w:rPr>
              <w:t>e evidence and rationale for this choice?</w:t>
            </w:r>
          </w:p>
        </w:tc>
        <w:tc>
          <w:tcPr>
            <w:tcW w:w="2257" w:type="dxa"/>
            <w:tcBorders>
              <w:top w:val="nil"/>
              <w:left w:val="single" w:sz="8" w:space="0" w:color="FFFFFF"/>
              <w:bottom w:val="single" w:sz="8" w:space="0" w:color="000000"/>
              <w:right w:val="single" w:sz="8" w:space="0" w:color="000000"/>
            </w:tcBorders>
            <w:shd w:val="clear" w:color="auto" w:fill="26C42B"/>
            <w:tcMar>
              <w:top w:w="60" w:type="dxa"/>
              <w:left w:w="100" w:type="dxa"/>
              <w:bottom w:w="60" w:type="dxa"/>
              <w:right w:w="100" w:type="dxa"/>
            </w:tcMar>
          </w:tcPr>
          <w:p w:rsidR="00695032" w:rsidRDefault="00DB4E94">
            <w:pPr>
              <w:widowControl w:val="0"/>
              <w:pBdr>
                <w:top w:val="nil"/>
                <w:left w:val="nil"/>
                <w:bottom w:val="nil"/>
                <w:right w:val="nil"/>
                <w:between w:val="nil"/>
              </w:pBdr>
              <w:rPr>
                <w:b/>
              </w:rPr>
            </w:pPr>
            <w:r>
              <w:rPr>
                <w:b/>
              </w:rPr>
              <w:t>How will you ensure it is implemented well?</w:t>
            </w:r>
          </w:p>
        </w:tc>
        <w:tc>
          <w:tcPr>
            <w:tcW w:w="983"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Staff lead</w:t>
            </w: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When will you review implementation?</w:t>
            </w: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695032">
            <w:pPr>
              <w:widowControl w:val="0"/>
              <w:pBdr>
                <w:top w:val="nil"/>
                <w:left w:val="nil"/>
                <w:bottom w:val="nil"/>
                <w:right w:val="nil"/>
                <w:between w:val="nil"/>
              </w:pBdr>
              <w:rPr>
                <w:b/>
              </w:rPr>
            </w:pPr>
          </w:p>
        </w:tc>
        <w:tc>
          <w:tcPr>
            <w:tcW w:w="1588" w:type="dxa"/>
            <w:tcBorders>
              <w:top w:val="nil"/>
              <w:left w:val="nil"/>
              <w:bottom w:val="single" w:sz="8" w:space="0" w:color="000000"/>
              <w:right w:val="single" w:sz="8" w:space="0" w:color="000000"/>
            </w:tcBorders>
            <w:shd w:val="clear" w:color="auto" w:fill="26C42B"/>
            <w:tcMar>
              <w:top w:w="100" w:type="dxa"/>
              <w:left w:w="100" w:type="dxa"/>
              <w:bottom w:w="100" w:type="dxa"/>
              <w:right w:w="100" w:type="dxa"/>
            </w:tcMar>
          </w:tcPr>
          <w:p w:rsidR="00695032" w:rsidRDefault="00DB4E94">
            <w:pPr>
              <w:widowControl w:val="0"/>
              <w:pBdr>
                <w:top w:val="nil"/>
                <w:left w:val="nil"/>
                <w:bottom w:val="nil"/>
                <w:right w:val="nil"/>
                <w:between w:val="nil"/>
              </w:pBdr>
              <w:rPr>
                <w:b/>
              </w:rPr>
            </w:pPr>
            <w:r>
              <w:rPr>
                <w:b/>
              </w:rPr>
              <w:t xml:space="preserve">Monitoring will be updated at review in February  </w:t>
            </w:r>
          </w:p>
        </w:tc>
      </w:tr>
      <w:tr w:rsidR="00695032">
        <w:trPr>
          <w:trHeight w:val="1620"/>
        </w:trPr>
        <w:tc>
          <w:tcPr>
            <w:tcW w:w="1609" w:type="dxa"/>
            <w:vMerge w:val="restart"/>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Improve attendance so disadvantaged attendance is in line with non disadvantaged and above 95% </w:t>
            </w:r>
          </w:p>
          <w:p w:rsidR="00695032" w:rsidRDefault="00DB4E94">
            <w:pPr>
              <w:widowControl w:val="0"/>
              <w:rPr>
                <w:sz w:val="18"/>
                <w:szCs w:val="18"/>
              </w:rPr>
            </w:pPr>
            <w:r>
              <w:rPr>
                <w:sz w:val="18"/>
                <w:szCs w:val="18"/>
              </w:rPr>
              <w:t xml:space="preserve"> </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Inclusion manager per week will monitor attendance, send out reminder letters, liaise with the LA attendance team for fines and enforcement. </w:t>
            </w:r>
          </w:p>
          <w:p w:rsidR="00695032" w:rsidRDefault="00DB4E94">
            <w:pPr>
              <w:widowControl w:val="0"/>
              <w:pBdr>
                <w:top w:val="nil"/>
                <w:left w:val="nil"/>
                <w:bottom w:val="nil"/>
                <w:right w:val="nil"/>
                <w:between w:val="nil"/>
              </w:pBdr>
              <w:rPr>
                <w:sz w:val="18"/>
                <w:szCs w:val="18"/>
              </w:rPr>
            </w:pPr>
            <w:r>
              <w:rPr>
                <w:sz w:val="18"/>
                <w:szCs w:val="18"/>
              </w:rPr>
              <w:t>Call and colle</w:t>
            </w:r>
            <w:r>
              <w:rPr>
                <w:sz w:val="18"/>
                <w:szCs w:val="18"/>
              </w:rPr>
              <w:t xml:space="preserve">ct service. </w:t>
            </w:r>
          </w:p>
          <w:p w:rsidR="00695032" w:rsidRDefault="00DB4E94">
            <w:pPr>
              <w:widowControl w:val="0"/>
              <w:pBdr>
                <w:top w:val="nil"/>
                <w:left w:val="nil"/>
                <w:bottom w:val="nil"/>
                <w:right w:val="nil"/>
                <w:between w:val="nil"/>
              </w:pBdr>
              <w:rPr>
                <w:sz w:val="18"/>
                <w:szCs w:val="18"/>
              </w:rPr>
            </w:pPr>
            <w:r>
              <w:rPr>
                <w:sz w:val="18"/>
                <w:szCs w:val="18"/>
              </w:rPr>
              <w:t xml:space="preserve">Non- class based DHT time to target attendance. </w:t>
            </w:r>
          </w:p>
          <w:p w:rsidR="00695032" w:rsidRDefault="00695032">
            <w:pPr>
              <w:widowControl w:val="0"/>
              <w:pBdr>
                <w:top w:val="nil"/>
                <w:left w:val="nil"/>
                <w:bottom w:val="nil"/>
                <w:right w:val="nil"/>
                <w:between w:val="nil"/>
              </w:pBdr>
              <w:rPr>
                <w:sz w:val="18"/>
                <w:szCs w:val="18"/>
              </w:rPr>
            </w:pPr>
          </w:p>
        </w:tc>
        <w:tc>
          <w:tcPr>
            <w:tcW w:w="2527" w:type="dxa"/>
            <w:vMerge w:val="restart"/>
            <w:tcBorders>
              <w:top w:val="single" w:sz="8" w:space="0" w:color="FFFFFF"/>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Children need to be in school to learn and achieve. </w:t>
            </w:r>
          </w:p>
          <w:p w:rsidR="00695032" w:rsidRDefault="00DB4E94">
            <w:pPr>
              <w:widowControl w:val="0"/>
              <w:pBdr>
                <w:top w:val="nil"/>
                <w:left w:val="nil"/>
                <w:bottom w:val="nil"/>
                <w:right w:val="nil"/>
                <w:between w:val="nil"/>
              </w:pBdr>
              <w:rPr>
                <w:sz w:val="18"/>
                <w:szCs w:val="18"/>
              </w:rPr>
            </w:pPr>
            <w:r>
              <w:rPr>
                <w:color w:val="333333"/>
                <w:sz w:val="18"/>
                <w:szCs w:val="18"/>
                <w:highlight w:val="white"/>
              </w:rPr>
              <w:t>In February 2015 the Department for Education (DfE) published a report on the link between absence and attainment in KS2 and KS4: Pupils wi</w:t>
            </w:r>
            <w:r>
              <w:rPr>
                <w:color w:val="333333"/>
                <w:sz w:val="18"/>
                <w:szCs w:val="18"/>
                <w:highlight w:val="white"/>
              </w:rPr>
              <w:t>th no absence are 1.6 times more likely to achieve level 4 or above, and 4.7 times more likely to achieve level 5 or above, than pupils that missed 15-20 percent of all sessions.</w:t>
            </w:r>
          </w:p>
          <w:p w:rsidR="00695032" w:rsidRDefault="00DB4E94">
            <w:pPr>
              <w:widowControl w:val="0"/>
              <w:rPr>
                <w:sz w:val="18"/>
                <w:szCs w:val="18"/>
              </w:rPr>
            </w:pPr>
            <w:r>
              <w:rPr>
                <w:sz w:val="18"/>
                <w:szCs w:val="18"/>
              </w:rPr>
              <w:t xml:space="preserve"> </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Attendance monitoring termly.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 xml:space="preserve">C. Henderson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December 19</w:t>
            </w:r>
          </w:p>
          <w:p w:rsidR="00695032" w:rsidRDefault="00DB4E94">
            <w:pPr>
              <w:widowControl w:val="0"/>
              <w:pBdr>
                <w:top w:val="nil"/>
                <w:left w:val="nil"/>
                <w:bottom w:val="nil"/>
                <w:right w:val="nil"/>
                <w:between w:val="nil"/>
              </w:pBdr>
              <w:rPr>
                <w:sz w:val="18"/>
                <w:szCs w:val="18"/>
              </w:rPr>
            </w:pPr>
            <w:r>
              <w:rPr>
                <w:sz w:val="18"/>
                <w:szCs w:val="18"/>
              </w:rPr>
              <w:t>March 20</w:t>
            </w:r>
          </w:p>
          <w:p w:rsidR="00695032" w:rsidRDefault="00DB4E94">
            <w:pPr>
              <w:widowControl w:val="0"/>
              <w:pBdr>
                <w:top w:val="nil"/>
                <w:left w:val="nil"/>
                <w:bottom w:val="nil"/>
                <w:right w:val="nil"/>
                <w:between w:val="nil"/>
              </w:pBdr>
              <w:rPr>
                <w:sz w:val="18"/>
                <w:szCs w:val="18"/>
              </w:rPr>
            </w:pPr>
            <w:r>
              <w:rPr>
                <w:sz w:val="18"/>
                <w:szCs w:val="18"/>
              </w:rPr>
              <w:t>June 20</w:t>
            </w:r>
          </w:p>
          <w:p w:rsidR="00695032" w:rsidRDefault="00695032">
            <w:pPr>
              <w:widowControl w:val="0"/>
              <w:pBdr>
                <w:top w:val="nil"/>
                <w:left w:val="nil"/>
                <w:bottom w:val="nil"/>
                <w:right w:val="nil"/>
                <w:between w:val="nil"/>
              </w:pBdr>
              <w:rPr>
                <w:sz w:val="18"/>
                <w:szCs w:val="18"/>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£7,532</w:t>
            </w:r>
          </w:p>
          <w:p w:rsidR="00695032" w:rsidRDefault="00DB4E94">
            <w:pPr>
              <w:widowControl w:val="0"/>
              <w:rPr>
                <w:sz w:val="18"/>
                <w:szCs w:val="18"/>
              </w:rPr>
            </w:pPr>
            <w:r>
              <w:rPr>
                <w:sz w:val="18"/>
                <w:szCs w:val="18"/>
              </w:rPr>
              <w:t>(CH)</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r w:rsidR="00695032">
        <w:trPr>
          <w:trHeight w:val="500"/>
        </w:trPr>
        <w:tc>
          <w:tcPr>
            <w:tcW w:w="1609" w:type="dxa"/>
            <w:vMerge/>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rPr>
            </w:pPr>
          </w:p>
        </w:tc>
        <w:tc>
          <w:tcPr>
            <w:tcW w:w="1814" w:type="dxa"/>
            <w:vMerge w:val="restart"/>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sz w:val="18"/>
                <w:szCs w:val="18"/>
              </w:rPr>
            </w:pPr>
            <w:r>
              <w:rPr>
                <w:sz w:val="18"/>
                <w:szCs w:val="18"/>
              </w:rPr>
              <w:t>Use of external agencies to support persistent absenteeism.</w:t>
            </w:r>
          </w:p>
          <w:p w:rsidR="00695032" w:rsidRDefault="00DB4E94">
            <w:pPr>
              <w:widowControl w:val="0"/>
              <w:rPr>
                <w:sz w:val="18"/>
                <w:szCs w:val="18"/>
              </w:rPr>
            </w:pPr>
            <w:r>
              <w:rPr>
                <w:sz w:val="18"/>
                <w:szCs w:val="18"/>
              </w:rPr>
              <w:t>Outreach support.</w:t>
            </w:r>
          </w:p>
          <w:p w:rsidR="00695032" w:rsidRDefault="00DB4E94">
            <w:pPr>
              <w:widowControl w:val="0"/>
              <w:rPr>
                <w:sz w:val="18"/>
                <w:szCs w:val="18"/>
              </w:rPr>
            </w:pPr>
            <w:r>
              <w:rPr>
                <w:sz w:val="18"/>
                <w:szCs w:val="18"/>
              </w:rPr>
              <w:t>Attendance at review meetings.</w:t>
            </w:r>
          </w:p>
          <w:p w:rsidR="00695032" w:rsidRDefault="00695032">
            <w:pPr>
              <w:widowControl w:val="0"/>
              <w:rPr>
                <w:sz w:val="18"/>
                <w:szCs w:val="18"/>
              </w:rPr>
            </w:pPr>
          </w:p>
          <w:p w:rsidR="00695032" w:rsidRDefault="00695032">
            <w:pPr>
              <w:widowControl w:val="0"/>
              <w:rPr>
                <w:sz w:val="18"/>
                <w:szCs w:val="18"/>
              </w:rPr>
            </w:pPr>
          </w:p>
        </w:tc>
        <w:tc>
          <w:tcPr>
            <w:tcW w:w="2527" w:type="dxa"/>
            <w:vMerge/>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rPr>
            </w:pPr>
          </w:p>
        </w:tc>
        <w:tc>
          <w:tcPr>
            <w:tcW w:w="2257" w:type="dxa"/>
            <w:vMerge w:val="restart"/>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rPr>
                <w:sz w:val="18"/>
                <w:szCs w:val="18"/>
              </w:rPr>
            </w:pPr>
          </w:p>
          <w:p w:rsidR="00695032" w:rsidRDefault="00DB4E94">
            <w:pPr>
              <w:widowControl w:val="0"/>
              <w:rPr>
                <w:sz w:val="18"/>
                <w:szCs w:val="18"/>
              </w:rPr>
            </w:pPr>
            <w:r>
              <w:rPr>
                <w:sz w:val="18"/>
                <w:szCs w:val="18"/>
              </w:rPr>
              <w:t>Attendance monitoring termly.</w:t>
            </w:r>
          </w:p>
        </w:tc>
        <w:tc>
          <w:tcPr>
            <w:tcW w:w="983"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rPr>
                <w:sz w:val="18"/>
                <w:szCs w:val="18"/>
              </w:rPr>
            </w:pPr>
          </w:p>
          <w:p w:rsidR="00695032" w:rsidRDefault="00DB4E94">
            <w:pPr>
              <w:widowControl w:val="0"/>
              <w:rPr>
                <w:sz w:val="18"/>
                <w:szCs w:val="18"/>
              </w:rPr>
            </w:pPr>
            <w:r>
              <w:rPr>
                <w:sz w:val="18"/>
                <w:szCs w:val="18"/>
              </w:rPr>
              <w:t xml:space="preserve">C Henderson </w:t>
            </w:r>
          </w:p>
          <w:p w:rsidR="00695032" w:rsidRDefault="00695032">
            <w:pPr>
              <w:widowControl w:val="0"/>
              <w:rPr>
                <w:sz w:val="18"/>
                <w:szCs w:val="18"/>
              </w:rPr>
            </w:pPr>
          </w:p>
        </w:tc>
        <w:tc>
          <w:tcPr>
            <w:tcW w:w="15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rPr>
                <w:sz w:val="18"/>
                <w:szCs w:val="18"/>
              </w:rPr>
            </w:pPr>
          </w:p>
          <w:p w:rsidR="00695032" w:rsidRDefault="00DB4E94">
            <w:pPr>
              <w:widowControl w:val="0"/>
              <w:rPr>
                <w:sz w:val="18"/>
                <w:szCs w:val="18"/>
              </w:rPr>
            </w:pPr>
            <w:r>
              <w:rPr>
                <w:sz w:val="18"/>
                <w:szCs w:val="18"/>
              </w:rPr>
              <w:t>December 19</w:t>
            </w:r>
          </w:p>
          <w:p w:rsidR="00695032" w:rsidRDefault="00DB4E94">
            <w:pPr>
              <w:widowControl w:val="0"/>
              <w:rPr>
                <w:sz w:val="18"/>
                <w:szCs w:val="18"/>
              </w:rPr>
            </w:pPr>
            <w:r>
              <w:rPr>
                <w:sz w:val="18"/>
                <w:szCs w:val="18"/>
              </w:rPr>
              <w:t>March 20</w:t>
            </w:r>
          </w:p>
          <w:p w:rsidR="00695032" w:rsidRDefault="00DB4E94">
            <w:pPr>
              <w:widowControl w:val="0"/>
              <w:rPr>
                <w:sz w:val="18"/>
                <w:szCs w:val="18"/>
              </w:rPr>
            </w:pPr>
            <w:r>
              <w:rPr>
                <w:sz w:val="18"/>
                <w:szCs w:val="18"/>
              </w:rPr>
              <w:t>June 20</w:t>
            </w:r>
          </w:p>
        </w:tc>
        <w:tc>
          <w:tcPr>
            <w:tcW w:w="15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rPr>
                <w:sz w:val="18"/>
                <w:szCs w:val="18"/>
              </w:rPr>
            </w:pPr>
          </w:p>
          <w:p w:rsidR="00695032" w:rsidRDefault="00DB4E94">
            <w:pPr>
              <w:widowControl w:val="0"/>
              <w:rPr>
                <w:sz w:val="18"/>
                <w:szCs w:val="18"/>
              </w:rPr>
            </w:pPr>
            <w:r>
              <w:rPr>
                <w:sz w:val="18"/>
                <w:szCs w:val="18"/>
              </w:rPr>
              <w:t>£641</w:t>
            </w:r>
          </w:p>
        </w:tc>
        <w:tc>
          <w:tcPr>
            <w:tcW w:w="158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rPr>
                <w:sz w:val="18"/>
                <w:szCs w:val="18"/>
                <w:highlight w:val="yellow"/>
              </w:rPr>
            </w:pPr>
          </w:p>
        </w:tc>
      </w:tr>
      <w:tr w:rsidR="00695032">
        <w:trPr>
          <w:trHeight w:val="500"/>
        </w:trPr>
        <w:tc>
          <w:tcPr>
            <w:tcW w:w="1609" w:type="dxa"/>
            <w:vMerge/>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rPr>
            </w:pPr>
          </w:p>
        </w:tc>
        <w:tc>
          <w:tcPr>
            <w:tcW w:w="1814" w:type="dxa"/>
            <w:vMerge/>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rPr>
            </w:pPr>
          </w:p>
        </w:tc>
        <w:tc>
          <w:tcPr>
            <w:tcW w:w="2527" w:type="dxa"/>
            <w:vMerge/>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pBdr>
                <w:top w:val="nil"/>
                <w:left w:val="nil"/>
                <w:bottom w:val="nil"/>
                <w:right w:val="nil"/>
                <w:between w:val="nil"/>
              </w:pBdr>
              <w:spacing w:line="240" w:lineRule="auto"/>
              <w:rPr>
                <w:sz w:val="18"/>
                <w:szCs w:val="18"/>
              </w:rPr>
            </w:pPr>
          </w:p>
        </w:tc>
        <w:tc>
          <w:tcPr>
            <w:tcW w:w="2257" w:type="dxa"/>
            <w:vMerge/>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695032">
            <w:pPr>
              <w:widowControl w:val="0"/>
              <w:spacing w:line="240" w:lineRule="auto"/>
              <w:rPr>
                <w:sz w:val="18"/>
                <w:szCs w:val="18"/>
              </w:rPr>
            </w:pPr>
          </w:p>
        </w:tc>
        <w:tc>
          <w:tcPr>
            <w:tcW w:w="983"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spacing w:line="240" w:lineRule="auto"/>
              <w:rPr>
                <w:sz w:val="18"/>
                <w:szCs w:val="18"/>
              </w:rPr>
            </w:pPr>
          </w:p>
        </w:tc>
        <w:tc>
          <w:tcPr>
            <w:tcW w:w="158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spacing w:line="240" w:lineRule="auto"/>
              <w:rPr>
                <w:sz w:val="18"/>
                <w:szCs w:val="18"/>
              </w:rPr>
            </w:pPr>
          </w:p>
        </w:tc>
        <w:tc>
          <w:tcPr>
            <w:tcW w:w="158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spacing w:line="240" w:lineRule="auto"/>
              <w:rPr>
                <w:sz w:val="18"/>
                <w:szCs w:val="18"/>
              </w:rPr>
            </w:pPr>
          </w:p>
        </w:tc>
        <w:tc>
          <w:tcPr>
            <w:tcW w:w="158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spacing w:line="240" w:lineRule="auto"/>
              <w:rPr>
                <w:sz w:val="18"/>
                <w:szCs w:val="18"/>
                <w:highlight w:val="yellow"/>
              </w:rPr>
            </w:pPr>
          </w:p>
        </w:tc>
      </w:tr>
      <w:tr w:rsidR="00695032">
        <w:trPr>
          <w:trHeight w:val="500"/>
        </w:trPr>
        <w:tc>
          <w:tcPr>
            <w:tcW w:w="1609" w:type="dxa"/>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spacing w:line="240" w:lineRule="auto"/>
              <w:rPr>
                <w:sz w:val="18"/>
                <w:szCs w:val="18"/>
              </w:rPr>
            </w:pPr>
            <w:r>
              <w:rPr>
                <w:sz w:val="18"/>
                <w:szCs w:val="18"/>
              </w:rPr>
              <w:lastRenderedPageBreak/>
              <w:t>Personal budget allocation</w:t>
            </w:r>
          </w:p>
        </w:tc>
        <w:tc>
          <w:tcPr>
            <w:tcW w:w="1814"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rPr>
                <w:sz w:val="18"/>
                <w:szCs w:val="18"/>
              </w:rPr>
            </w:pPr>
            <w:r>
              <w:rPr>
                <w:sz w:val="18"/>
                <w:szCs w:val="18"/>
              </w:rPr>
              <w:t>This section is used to ensure individuals have equal and fair access. This fund is flexible</w:t>
            </w:r>
          </w:p>
          <w:p w:rsidR="00695032" w:rsidRDefault="00695032">
            <w:pPr>
              <w:widowControl w:val="0"/>
              <w:pBdr>
                <w:top w:val="nil"/>
                <w:left w:val="nil"/>
                <w:bottom w:val="nil"/>
                <w:right w:val="nil"/>
                <w:between w:val="nil"/>
              </w:pBdr>
              <w:rPr>
                <w:sz w:val="18"/>
                <w:szCs w:val="18"/>
              </w:rPr>
            </w:pPr>
          </w:p>
        </w:tc>
        <w:tc>
          <w:tcPr>
            <w:tcW w:w="252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pBdr>
                <w:top w:val="nil"/>
                <w:left w:val="nil"/>
                <w:bottom w:val="nil"/>
                <w:right w:val="nil"/>
                <w:between w:val="nil"/>
              </w:pBdr>
              <w:spacing w:line="240" w:lineRule="auto"/>
              <w:rPr>
                <w:sz w:val="18"/>
                <w:szCs w:val="18"/>
              </w:rPr>
            </w:pPr>
            <w:r>
              <w:rPr>
                <w:sz w:val="18"/>
                <w:szCs w:val="18"/>
              </w:rPr>
              <w:t xml:space="preserve">The evidence varies depending on need. This can be solely to make a child more comfortable, to purchase specialist equipment for a subject or hobby, to support a </w:t>
            </w:r>
            <w:r>
              <w:rPr>
                <w:sz w:val="18"/>
                <w:szCs w:val="18"/>
              </w:rPr>
              <w:t xml:space="preserve">family in financial difficulty in meeting basic needs, pay for pp transport to young carers or activities which would otherwise be missed. </w:t>
            </w:r>
          </w:p>
        </w:tc>
        <w:tc>
          <w:tcPr>
            <w:tcW w:w="2257" w:type="dxa"/>
            <w:tcBorders>
              <w:top w:val="nil"/>
              <w:left w:val="nil"/>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widowControl w:val="0"/>
              <w:rPr>
                <w:sz w:val="18"/>
                <w:szCs w:val="18"/>
              </w:rPr>
            </w:pPr>
            <w:r>
              <w:rPr>
                <w:sz w:val="18"/>
                <w:szCs w:val="18"/>
              </w:rPr>
              <w:t>Inclusion manager to review impact on emotional well being of activities and events. Feedback form class teachers fo</w:t>
            </w:r>
            <w:r>
              <w:rPr>
                <w:sz w:val="18"/>
                <w:szCs w:val="18"/>
              </w:rPr>
              <w:t xml:space="preserve">llowing spend. </w:t>
            </w:r>
          </w:p>
        </w:tc>
        <w:tc>
          <w:tcPr>
            <w:tcW w:w="9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DHT</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 xml:space="preserve">In response to need.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rPr>
                <w:sz w:val="18"/>
                <w:szCs w:val="18"/>
              </w:rPr>
            </w:pPr>
            <w:r>
              <w:rPr>
                <w:sz w:val="18"/>
                <w:szCs w:val="18"/>
              </w:rPr>
              <w:t>£1341</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rPr>
                <w:sz w:val="18"/>
                <w:szCs w:val="18"/>
              </w:rPr>
            </w:pPr>
          </w:p>
        </w:tc>
      </w:tr>
      <w:tr w:rsidR="00695032">
        <w:trPr>
          <w:trHeight w:val="560"/>
        </w:trPr>
        <w:tc>
          <w:tcPr>
            <w:tcW w:w="9190" w:type="dxa"/>
            <w:gridSpan w:val="5"/>
            <w:tcBorders>
              <w:top w:val="nil"/>
              <w:left w:val="single" w:sz="8" w:space="0" w:color="000000"/>
              <w:bottom w:val="single" w:sz="8" w:space="0" w:color="000000"/>
              <w:right w:val="single" w:sz="8" w:space="0" w:color="000000"/>
            </w:tcBorders>
            <w:shd w:val="clear" w:color="auto" w:fill="auto"/>
            <w:tcMar>
              <w:top w:w="60" w:type="dxa"/>
              <w:left w:w="100" w:type="dxa"/>
              <w:bottom w:w="60" w:type="dxa"/>
              <w:right w:w="100" w:type="dxa"/>
            </w:tcMar>
          </w:tcPr>
          <w:p w:rsidR="00695032" w:rsidRDefault="00DB4E94">
            <w:pPr>
              <w:jc w:val="right"/>
              <w:rPr>
                <w:b/>
              </w:rPr>
            </w:pPr>
            <w:r>
              <w:rPr>
                <w:b/>
              </w:rPr>
              <w:t>Total budgeted cost</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DB4E94">
            <w:pPr>
              <w:widowControl w:val="0"/>
              <w:pBdr>
                <w:top w:val="nil"/>
                <w:left w:val="nil"/>
                <w:bottom w:val="nil"/>
                <w:right w:val="nil"/>
                <w:between w:val="nil"/>
              </w:pBdr>
              <w:rPr>
                <w:sz w:val="18"/>
                <w:szCs w:val="18"/>
              </w:rPr>
            </w:pPr>
            <w:r>
              <w:rPr>
                <w:sz w:val="18"/>
                <w:szCs w:val="18"/>
              </w:rPr>
              <w:t xml:space="preserve"> £</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95032" w:rsidRDefault="00695032">
            <w:pPr>
              <w:widowControl w:val="0"/>
              <w:pBdr>
                <w:top w:val="nil"/>
                <w:left w:val="nil"/>
                <w:bottom w:val="nil"/>
                <w:right w:val="nil"/>
                <w:between w:val="nil"/>
              </w:pBdr>
              <w:rPr>
                <w:sz w:val="18"/>
                <w:szCs w:val="18"/>
              </w:rPr>
            </w:pPr>
          </w:p>
        </w:tc>
      </w:tr>
    </w:tbl>
    <w:p w:rsidR="00695032" w:rsidRDefault="00695032"/>
    <w:p w:rsidR="00695032" w:rsidRDefault="00DB4E94">
      <w:r>
        <w:t xml:space="preserve"> </w:t>
      </w:r>
    </w:p>
    <w:p w:rsidR="00695032" w:rsidRDefault="00695032"/>
    <w:p w:rsidR="00695032" w:rsidRDefault="00695032"/>
    <w:p w:rsidR="00695032" w:rsidRDefault="00695032"/>
    <w:p w:rsidR="00695032" w:rsidRDefault="00695032"/>
    <w:p w:rsidR="00695032" w:rsidRDefault="00695032"/>
    <w:p w:rsidR="00695032" w:rsidRDefault="00695032"/>
    <w:sectPr w:rsidR="00695032">
      <w:headerReference w:type="default" r:id="rId8"/>
      <w:pgSz w:w="16838" w:h="11906"/>
      <w:pgMar w:top="1440" w:right="9615"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B4E94">
      <w:pPr>
        <w:spacing w:line="240" w:lineRule="auto"/>
      </w:pPr>
      <w:r>
        <w:separator/>
      </w:r>
    </w:p>
  </w:endnote>
  <w:endnote w:type="continuationSeparator" w:id="0">
    <w:p w:rsidR="00000000" w:rsidRDefault="00DB4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B4E94">
      <w:pPr>
        <w:spacing w:line="240" w:lineRule="auto"/>
      </w:pPr>
      <w:r>
        <w:separator/>
      </w:r>
    </w:p>
  </w:footnote>
  <w:footnote w:type="continuationSeparator" w:id="0">
    <w:p w:rsidR="00000000" w:rsidRDefault="00DB4E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032" w:rsidRDefault="00DB4E94">
    <w:pPr>
      <w:ind w:right="-8070"/>
      <w:rPr>
        <w:b/>
      </w:rPr>
    </w:pPr>
    <w:r>
      <w:rPr>
        <w:b/>
      </w:rPr>
      <w:t>Hedworthfield  Pupil Premium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5032"/>
    <w:rsid w:val="00695032"/>
    <w:rsid w:val="00DB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an.org.uk/download%20files/ReadOnGetOn%20I%20CAN%20SLCN%20and%20literac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Hedworthfield Primary</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Reid</dc:creator>
  <cp:lastModifiedBy>S Reid</cp:lastModifiedBy>
  <cp:revision>2</cp:revision>
  <dcterms:created xsi:type="dcterms:W3CDTF">2019-09-06T11:11:00Z</dcterms:created>
  <dcterms:modified xsi:type="dcterms:W3CDTF">2019-09-06T11:11:00Z</dcterms:modified>
</cp:coreProperties>
</file>