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2D" w:rsidRDefault="0029002D" w:rsidP="007C39BD">
      <w:pPr>
        <w:jc w:val="center"/>
      </w:pPr>
    </w:p>
    <w:p w:rsidR="007C39BD" w:rsidRDefault="007C39BD" w:rsidP="007C39BD">
      <w:pPr>
        <w:jc w:val="center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26"/>
      </w:tblGrid>
      <w:tr w:rsidR="00FC39C2" w:rsidRPr="00F83CFE" w:rsidTr="00E805DC">
        <w:trPr>
          <w:trHeight w:val="2880"/>
          <w:jc w:val="center"/>
        </w:trPr>
        <w:tc>
          <w:tcPr>
            <w:tcW w:w="5000" w:type="pct"/>
          </w:tcPr>
          <w:p w:rsidR="00FC39C2" w:rsidRPr="00F83CFE" w:rsidRDefault="00FC39C2" w:rsidP="00E805DC">
            <w:pPr>
              <w:pStyle w:val="NoSpacing"/>
              <w:jc w:val="center"/>
              <w:rPr>
                <w:rFonts w:ascii="Arial" w:eastAsia="Times New Roman" w:hAnsi="Arial"/>
                <w:caps/>
              </w:rPr>
            </w:pPr>
            <w:r w:rsidRPr="00F83CFE">
              <w:rPr>
                <w:noProof/>
                <w:lang w:val="en-GB" w:eastAsia="en-GB"/>
              </w:rPr>
              <w:drawing>
                <wp:inline distT="0" distB="0" distL="0" distR="0" wp14:anchorId="50A6D8FC" wp14:editId="2BDF2ABE">
                  <wp:extent cx="2211520" cy="1306545"/>
                  <wp:effectExtent l="0" t="0" r="0" b="825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877" cy="1307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9C2" w:rsidRPr="00F83CFE" w:rsidTr="00E805DC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FC39C2" w:rsidRPr="00F83CFE" w:rsidRDefault="00FC39C2" w:rsidP="00E805DC">
            <w:pPr>
              <w:pStyle w:val="NoSpacing"/>
              <w:jc w:val="center"/>
              <w:rPr>
                <w:rFonts w:ascii="Arial" w:eastAsia="Times New Roman" w:hAnsi="Arial"/>
                <w:sz w:val="80"/>
                <w:szCs w:val="80"/>
              </w:rPr>
            </w:pPr>
            <w:r>
              <w:rPr>
                <w:rFonts w:ascii="Arial" w:eastAsia="Times New Roman" w:hAnsi="Arial"/>
                <w:sz w:val="80"/>
                <w:szCs w:val="80"/>
                <w:lang w:val="en-GB"/>
              </w:rPr>
              <w:t>ICFP Policy</w:t>
            </w:r>
            <w:r w:rsidRPr="00F83CFE">
              <w:rPr>
                <w:rFonts w:ascii="Arial" w:eastAsia="Times New Roman" w:hAnsi="Arial"/>
                <w:sz w:val="80"/>
                <w:szCs w:val="80"/>
                <w:lang w:val="en-GB"/>
              </w:rPr>
              <w:t xml:space="preserve"> </w:t>
            </w:r>
          </w:p>
        </w:tc>
      </w:tr>
      <w:tr w:rsidR="00FC39C2" w:rsidRPr="00F83CFE" w:rsidTr="00E805DC">
        <w:trPr>
          <w:trHeight w:val="8023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FC39C2" w:rsidRPr="00F83CFE" w:rsidRDefault="00FC39C2" w:rsidP="00E805DC">
            <w:pPr>
              <w:pStyle w:val="NoSpacing"/>
              <w:jc w:val="center"/>
              <w:rPr>
                <w:rFonts w:ascii="Arial" w:eastAsia="Times New Roman" w:hAnsi="Arial"/>
                <w:sz w:val="44"/>
                <w:szCs w:val="44"/>
              </w:rPr>
            </w:pPr>
            <w:r w:rsidRPr="00F83CFE">
              <w:rPr>
                <w:rFonts w:ascii="Arial" w:eastAsia="Times New Roman" w:hAnsi="Arial"/>
                <w:sz w:val="44"/>
                <w:szCs w:val="44"/>
              </w:rPr>
              <w:t>Humber Education Trust</w:t>
            </w:r>
          </w:p>
          <w:p w:rsidR="00FC39C2" w:rsidRPr="00F83CFE" w:rsidRDefault="00FC39C2" w:rsidP="00E805DC">
            <w:pPr>
              <w:pStyle w:val="NoSpacing"/>
              <w:jc w:val="center"/>
              <w:rPr>
                <w:rFonts w:ascii="Arial" w:eastAsia="Times New Roman" w:hAnsi="Arial"/>
                <w:sz w:val="44"/>
                <w:szCs w:val="44"/>
              </w:rPr>
            </w:pPr>
          </w:p>
          <w:p w:rsidR="00FC39C2" w:rsidRPr="00F83CFE" w:rsidRDefault="00FC39C2" w:rsidP="00E805DC">
            <w:pPr>
              <w:pStyle w:val="NoSpacing"/>
              <w:jc w:val="center"/>
              <w:rPr>
                <w:rFonts w:ascii="Arial" w:eastAsia="Times New Roman" w:hAnsi="Arial"/>
                <w:sz w:val="44"/>
                <w:szCs w:val="44"/>
              </w:rPr>
            </w:pPr>
          </w:p>
          <w:p w:rsidR="00FC39C2" w:rsidRPr="00F83CFE" w:rsidRDefault="00FC39C2" w:rsidP="00E805DC">
            <w:pPr>
              <w:pStyle w:val="NoSpacing"/>
              <w:jc w:val="center"/>
              <w:rPr>
                <w:rFonts w:ascii="Arial" w:eastAsia="Times New Roman" w:hAnsi="Arial"/>
                <w:sz w:val="44"/>
                <w:szCs w:val="44"/>
              </w:rPr>
            </w:pPr>
          </w:p>
          <w:p w:rsidR="00FC39C2" w:rsidRPr="00F83CFE" w:rsidRDefault="00FC39C2" w:rsidP="00E805DC">
            <w:pPr>
              <w:pStyle w:val="NoSpacing"/>
              <w:jc w:val="center"/>
              <w:rPr>
                <w:rFonts w:ascii="Arial" w:eastAsia="Times New Roman" w:hAnsi="Arial"/>
                <w:sz w:val="44"/>
                <w:szCs w:val="44"/>
              </w:rPr>
            </w:pPr>
          </w:p>
          <w:p w:rsidR="00FC39C2" w:rsidRPr="00F83CFE" w:rsidRDefault="00FC39C2" w:rsidP="00E805DC">
            <w:pPr>
              <w:pStyle w:val="NoSpacing"/>
              <w:jc w:val="center"/>
              <w:rPr>
                <w:rFonts w:ascii="Arial" w:eastAsia="Times New Roman" w:hAnsi="Arial"/>
                <w:sz w:val="44"/>
                <w:szCs w:val="44"/>
              </w:rPr>
            </w:pPr>
          </w:p>
          <w:p w:rsidR="00FC39C2" w:rsidRPr="00F83CFE" w:rsidRDefault="00FC39C2" w:rsidP="00E805DC">
            <w:pPr>
              <w:ind w:firstLine="720"/>
              <w:rPr>
                <w:rFonts w:cs="Arial"/>
                <w:b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5891"/>
            </w:tblGrid>
            <w:tr w:rsidR="00FC39C2" w:rsidRPr="00F83CFE" w:rsidTr="00E805DC">
              <w:tc>
                <w:tcPr>
                  <w:tcW w:w="2405" w:type="dxa"/>
                  <w:shd w:val="clear" w:color="auto" w:fill="ACB9CA"/>
                </w:tcPr>
                <w:p w:rsidR="00FC39C2" w:rsidRPr="00F83CFE" w:rsidRDefault="00FC39C2" w:rsidP="00E805DC">
                  <w:pPr>
                    <w:rPr>
                      <w:rFonts w:cs="Arial"/>
                      <w:b/>
                      <w:szCs w:val="24"/>
                    </w:rPr>
                  </w:pPr>
                  <w:r w:rsidRPr="00F83CFE">
                    <w:rPr>
                      <w:rFonts w:cs="Arial"/>
                      <w:b/>
                      <w:szCs w:val="24"/>
                    </w:rPr>
                    <w:t>Committee:</w:t>
                  </w:r>
                </w:p>
              </w:tc>
              <w:tc>
                <w:tcPr>
                  <w:tcW w:w="5891" w:type="dxa"/>
                  <w:shd w:val="clear" w:color="auto" w:fill="auto"/>
                </w:tcPr>
                <w:p w:rsidR="00FC39C2" w:rsidRPr="00F83CFE" w:rsidRDefault="00FC39C2" w:rsidP="00E805DC">
                  <w:pPr>
                    <w:rPr>
                      <w:rFonts w:cs="Arial"/>
                      <w:b/>
                      <w:szCs w:val="24"/>
                    </w:rPr>
                  </w:pPr>
                  <w:r w:rsidRPr="00F83CFE">
                    <w:rPr>
                      <w:rFonts w:cs="Arial"/>
                      <w:b/>
                      <w:szCs w:val="24"/>
                    </w:rPr>
                    <w:t>Finance &amp; Resources</w:t>
                  </w:r>
                </w:p>
              </w:tc>
            </w:tr>
            <w:tr w:rsidR="00FC39C2" w:rsidRPr="00F83CFE" w:rsidTr="00E805DC">
              <w:tc>
                <w:tcPr>
                  <w:tcW w:w="2405" w:type="dxa"/>
                  <w:shd w:val="clear" w:color="auto" w:fill="ACB9CA"/>
                </w:tcPr>
                <w:p w:rsidR="00FC39C2" w:rsidRPr="00F83CFE" w:rsidRDefault="00FC39C2" w:rsidP="00E805DC">
                  <w:pPr>
                    <w:rPr>
                      <w:rFonts w:cs="Arial"/>
                      <w:b/>
                      <w:szCs w:val="24"/>
                    </w:rPr>
                  </w:pPr>
                  <w:r w:rsidRPr="00F83CFE">
                    <w:rPr>
                      <w:rFonts w:cs="Arial"/>
                      <w:b/>
                      <w:szCs w:val="24"/>
                    </w:rPr>
                    <w:t xml:space="preserve">Approved on: </w:t>
                  </w:r>
                </w:p>
              </w:tc>
              <w:tc>
                <w:tcPr>
                  <w:tcW w:w="5891" w:type="dxa"/>
                  <w:shd w:val="clear" w:color="auto" w:fill="auto"/>
                </w:tcPr>
                <w:p w:rsidR="00FC39C2" w:rsidRPr="00F83CFE" w:rsidRDefault="00FC39C2" w:rsidP="00E805DC">
                  <w:pPr>
                    <w:rPr>
                      <w:rFonts w:cs="Arial"/>
                      <w:b/>
                      <w:szCs w:val="24"/>
                    </w:rPr>
                  </w:pPr>
                  <w:r w:rsidRPr="00F83CFE">
                    <w:rPr>
                      <w:rFonts w:cs="Arial"/>
                      <w:b/>
                      <w:szCs w:val="24"/>
                    </w:rPr>
                    <w:t>June 2021</w:t>
                  </w:r>
                </w:p>
              </w:tc>
            </w:tr>
            <w:tr w:rsidR="00FC39C2" w:rsidRPr="00F83CFE" w:rsidTr="00E805DC">
              <w:tc>
                <w:tcPr>
                  <w:tcW w:w="2405" w:type="dxa"/>
                  <w:shd w:val="clear" w:color="auto" w:fill="ACB9CA"/>
                </w:tcPr>
                <w:p w:rsidR="00FC39C2" w:rsidRPr="00F83CFE" w:rsidRDefault="00FC39C2" w:rsidP="00E805DC">
                  <w:pPr>
                    <w:rPr>
                      <w:rFonts w:cs="Arial"/>
                      <w:b/>
                      <w:szCs w:val="24"/>
                    </w:rPr>
                  </w:pPr>
                  <w:r w:rsidRPr="00F83CFE">
                    <w:rPr>
                      <w:rFonts w:cs="Arial"/>
                      <w:b/>
                      <w:szCs w:val="24"/>
                    </w:rPr>
                    <w:t>Next review date:</w:t>
                  </w:r>
                </w:p>
              </w:tc>
              <w:tc>
                <w:tcPr>
                  <w:tcW w:w="5891" w:type="dxa"/>
                  <w:shd w:val="clear" w:color="auto" w:fill="auto"/>
                </w:tcPr>
                <w:p w:rsidR="00FC39C2" w:rsidRPr="00F83CFE" w:rsidRDefault="00FC39C2" w:rsidP="00E805DC">
                  <w:pPr>
                    <w:rPr>
                      <w:rFonts w:cs="Arial"/>
                      <w:b/>
                      <w:szCs w:val="24"/>
                    </w:rPr>
                  </w:pPr>
                  <w:r w:rsidRPr="00F83CFE">
                    <w:rPr>
                      <w:rFonts w:cs="Arial"/>
                      <w:b/>
                      <w:szCs w:val="24"/>
                    </w:rPr>
                    <w:t>Annual – June 2022</w:t>
                  </w:r>
                </w:p>
              </w:tc>
            </w:tr>
          </w:tbl>
          <w:p w:rsidR="00FC39C2" w:rsidRPr="00F83CFE" w:rsidRDefault="00FC39C2" w:rsidP="00E805DC">
            <w:pPr>
              <w:rPr>
                <w:rFonts w:cs="Arial"/>
                <w:b/>
                <w:szCs w:val="24"/>
              </w:rPr>
            </w:pPr>
          </w:p>
          <w:p w:rsidR="00FC39C2" w:rsidRPr="00F83CFE" w:rsidRDefault="00FC39C2" w:rsidP="00E805DC">
            <w:pPr>
              <w:rPr>
                <w:rFonts w:cs="Arial"/>
                <w:b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16"/>
              <w:gridCol w:w="2664"/>
            </w:tblGrid>
            <w:tr w:rsidR="00FC39C2" w:rsidRPr="00F83CFE" w:rsidTr="00E805DC">
              <w:tc>
                <w:tcPr>
                  <w:tcW w:w="8080" w:type="dxa"/>
                  <w:gridSpan w:val="2"/>
                  <w:shd w:val="clear" w:color="auto" w:fill="auto"/>
                </w:tcPr>
                <w:p w:rsidR="00FC39C2" w:rsidRPr="00F83CFE" w:rsidRDefault="00FC39C2" w:rsidP="00E805DC">
                  <w:pPr>
                    <w:rPr>
                      <w:rFonts w:cs="Arial"/>
                      <w:b/>
                      <w:szCs w:val="24"/>
                    </w:rPr>
                  </w:pPr>
                  <w:r w:rsidRPr="00F83CFE">
                    <w:rPr>
                      <w:rFonts w:cs="Arial"/>
                      <w:b/>
                      <w:szCs w:val="24"/>
                    </w:rPr>
                    <w:t>Associated documentation</w:t>
                  </w:r>
                </w:p>
              </w:tc>
            </w:tr>
            <w:tr w:rsidR="00FC39C2" w:rsidRPr="00F83CFE" w:rsidTr="00E805DC">
              <w:tc>
                <w:tcPr>
                  <w:tcW w:w="5416" w:type="dxa"/>
                  <w:shd w:val="clear" w:color="auto" w:fill="auto"/>
                </w:tcPr>
                <w:p w:rsidR="00FC39C2" w:rsidRPr="00F83CFE" w:rsidRDefault="00FC39C2" w:rsidP="00E805DC">
                  <w:pPr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HET Financial Regulations</w:t>
                  </w:r>
                </w:p>
              </w:tc>
              <w:tc>
                <w:tcPr>
                  <w:tcW w:w="2664" w:type="dxa"/>
                  <w:shd w:val="clear" w:color="auto" w:fill="auto"/>
                </w:tcPr>
                <w:p w:rsidR="00FC39C2" w:rsidRPr="00F83CFE" w:rsidRDefault="00FC39C2" w:rsidP="00E805DC">
                  <w:pPr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June 2021</w:t>
                  </w:r>
                </w:p>
              </w:tc>
            </w:tr>
            <w:tr w:rsidR="00FC39C2" w:rsidRPr="00F83CFE" w:rsidTr="00E805DC">
              <w:tc>
                <w:tcPr>
                  <w:tcW w:w="5416" w:type="dxa"/>
                  <w:shd w:val="clear" w:color="auto" w:fill="auto"/>
                </w:tcPr>
                <w:p w:rsidR="00FC39C2" w:rsidRPr="00F83CFE" w:rsidRDefault="00FC39C2" w:rsidP="00E805DC">
                  <w:pPr>
                    <w:rPr>
                      <w:rFonts w:cs="Arial"/>
                      <w:b/>
                      <w:szCs w:val="24"/>
                    </w:rPr>
                  </w:pPr>
                  <w:r w:rsidRPr="00F83CFE">
                    <w:rPr>
                      <w:rFonts w:cs="Arial"/>
                      <w:b/>
                      <w:szCs w:val="24"/>
                    </w:rPr>
                    <w:t>Academies Financial Handbook</w:t>
                  </w:r>
                </w:p>
              </w:tc>
              <w:tc>
                <w:tcPr>
                  <w:tcW w:w="2664" w:type="dxa"/>
                  <w:shd w:val="clear" w:color="auto" w:fill="auto"/>
                </w:tcPr>
                <w:p w:rsidR="00FC39C2" w:rsidRPr="00F83CFE" w:rsidRDefault="00FC39C2" w:rsidP="00E805DC">
                  <w:pPr>
                    <w:rPr>
                      <w:rFonts w:cs="Arial"/>
                      <w:b/>
                      <w:szCs w:val="24"/>
                    </w:rPr>
                  </w:pPr>
                  <w:r w:rsidRPr="00F83CFE">
                    <w:rPr>
                      <w:rFonts w:cs="Arial"/>
                      <w:b/>
                      <w:szCs w:val="24"/>
                    </w:rPr>
                    <w:t>Sept 2020</w:t>
                  </w:r>
                </w:p>
              </w:tc>
            </w:tr>
            <w:tr w:rsidR="00FC39C2" w:rsidRPr="00F83CFE" w:rsidTr="00E805DC">
              <w:tc>
                <w:tcPr>
                  <w:tcW w:w="5416" w:type="dxa"/>
                  <w:shd w:val="clear" w:color="auto" w:fill="auto"/>
                </w:tcPr>
                <w:p w:rsidR="00FC39C2" w:rsidRPr="00F83CFE" w:rsidRDefault="00FC39C2" w:rsidP="00E805DC">
                  <w:pPr>
                    <w:rPr>
                      <w:rFonts w:cs="Arial"/>
                      <w:b/>
                      <w:szCs w:val="24"/>
                    </w:rPr>
                  </w:pPr>
                  <w:r w:rsidRPr="00F83CFE">
                    <w:rPr>
                      <w:rFonts w:cs="Arial"/>
                      <w:b/>
                      <w:szCs w:val="24"/>
                    </w:rPr>
                    <w:t>Academies Accounts Direction</w:t>
                  </w:r>
                </w:p>
              </w:tc>
              <w:tc>
                <w:tcPr>
                  <w:tcW w:w="2664" w:type="dxa"/>
                  <w:shd w:val="clear" w:color="auto" w:fill="auto"/>
                </w:tcPr>
                <w:p w:rsidR="00FC39C2" w:rsidRPr="00F83CFE" w:rsidRDefault="00FC39C2" w:rsidP="00E805DC">
                  <w:pPr>
                    <w:rPr>
                      <w:rFonts w:cs="Arial"/>
                      <w:b/>
                      <w:szCs w:val="24"/>
                    </w:rPr>
                  </w:pPr>
                  <w:r w:rsidRPr="00F83CFE">
                    <w:rPr>
                      <w:rFonts w:cs="Arial"/>
                      <w:b/>
                      <w:szCs w:val="24"/>
                    </w:rPr>
                    <w:t>Last update June 2020</w:t>
                  </w:r>
                </w:p>
              </w:tc>
            </w:tr>
          </w:tbl>
          <w:p w:rsidR="00FC39C2" w:rsidRPr="00F83CFE" w:rsidRDefault="00FC39C2" w:rsidP="00E805DC">
            <w:pPr>
              <w:rPr>
                <w:rFonts w:cs="Arial"/>
                <w:b/>
              </w:rPr>
            </w:pPr>
            <w:r w:rsidRPr="00F83CFE">
              <w:rPr>
                <w:rFonts w:cs="Arial"/>
                <w:b/>
              </w:rPr>
              <w:tab/>
            </w:r>
          </w:p>
        </w:tc>
      </w:tr>
      <w:tr w:rsidR="00FC39C2" w:rsidRPr="00F83CFE" w:rsidTr="00E805DC">
        <w:trPr>
          <w:trHeight w:val="360"/>
          <w:jc w:val="center"/>
        </w:trPr>
        <w:tc>
          <w:tcPr>
            <w:tcW w:w="5000" w:type="pct"/>
            <w:vAlign w:val="center"/>
          </w:tcPr>
          <w:p w:rsidR="00FC39C2" w:rsidRPr="00F83CFE" w:rsidRDefault="00FC39C2" w:rsidP="00E805DC">
            <w:pPr>
              <w:pStyle w:val="NoSpacing"/>
              <w:jc w:val="center"/>
              <w:rPr>
                <w:rFonts w:ascii="Arial" w:hAnsi="Arial"/>
              </w:rPr>
            </w:pPr>
          </w:p>
        </w:tc>
      </w:tr>
    </w:tbl>
    <w:p w:rsidR="000D5E00" w:rsidRDefault="000D5E00" w:rsidP="007C39BD">
      <w:pPr>
        <w:jc w:val="center"/>
        <w:rPr>
          <w:b/>
        </w:rPr>
      </w:pPr>
    </w:p>
    <w:p w:rsidR="007C39BD" w:rsidRPr="007C39BD" w:rsidRDefault="00076F8A" w:rsidP="007C39BD">
      <w:pPr>
        <w:jc w:val="center"/>
        <w:rPr>
          <w:b/>
        </w:rPr>
      </w:pPr>
      <w:r>
        <w:rPr>
          <w:b/>
        </w:rPr>
        <w:lastRenderedPageBreak/>
        <w:t>I</w:t>
      </w:r>
      <w:r w:rsidR="007C39BD" w:rsidRPr="007C39BD">
        <w:rPr>
          <w:b/>
        </w:rPr>
        <w:t>ntegrated Curriculum Financial Planning (ICFP)</w:t>
      </w:r>
    </w:p>
    <w:p w:rsidR="007C39BD" w:rsidRPr="007C39BD" w:rsidRDefault="007C39BD" w:rsidP="007C39BD">
      <w:pPr>
        <w:jc w:val="center"/>
      </w:pPr>
      <w:r w:rsidRPr="007C39BD">
        <w:rPr>
          <w:b/>
        </w:rPr>
        <w:t>HET rationale and metrics</w:t>
      </w:r>
    </w:p>
    <w:p w:rsidR="007C39BD" w:rsidRPr="007C39BD" w:rsidRDefault="007C39BD" w:rsidP="007C39BD">
      <w:r w:rsidRPr="007C39BD">
        <w:t>Integrated curriculum and financial planning (ICFP) is a management process that helps schools plan the best curriculum for their pupils with the funding they have available. It can be used at any phase or type of school.</w:t>
      </w:r>
    </w:p>
    <w:p w:rsidR="007C39BD" w:rsidRDefault="007C39BD" w:rsidP="007C39BD">
      <w:r w:rsidRPr="007C39BD">
        <w:t xml:space="preserve">ICFP involves measuring your current curriculum, staffing structure and finances, and using the data to </w:t>
      </w:r>
      <w:r w:rsidR="004D47F9" w:rsidRPr="007C39BD">
        <w:t>create</w:t>
      </w:r>
      <w:r w:rsidR="004D47F9">
        <w:t xml:space="preserve"> </w:t>
      </w:r>
      <w:r w:rsidR="004D47F9" w:rsidRPr="007C39BD">
        <w:t>a</w:t>
      </w:r>
      <w:r w:rsidRPr="007C39BD">
        <w:t xml:space="preserve"> 3- to 5-year </w:t>
      </w:r>
      <w:r w:rsidR="004D47F9">
        <w:t xml:space="preserve">financial </w:t>
      </w:r>
      <w:r w:rsidRPr="007C39BD">
        <w:t>plan.</w:t>
      </w:r>
    </w:p>
    <w:p w:rsidR="004D47F9" w:rsidRDefault="004D47F9" w:rsidP="007C39BD">
      <w:r>
        <w:t>Humber Education Trust has identified a range of characteristics and metrics in order to provide schools with both external and internal benchmarking data.  This analysis will be revised every Spring</w:t>
      </w:r>
      <w:r w:rsidR="00D92D35">
        <w:t xml:space="preserve"> term</w:t>
      </w:r>
      <w:r>
        <w:t xml:space="preserve"> using a variety of national tools and data sets:</w:t>
      </w:r>
    </w:p>
    <w:p w:rsidR="004D47F9" w:rsidRDefault="004D47F9" w:rsidP="004D47F9">
      <w:pPr>
        <w:pStyle w:val="ListParagraph"/>
        <w:numPr>
          <w:ilvl w:val="0"/>
          <w:numId w:val="1"/>
        </w:numPr>
      </w:pPr>
      <w:r>
        <w:t>Schools Resource Management Benchmarking return (ESFA)</w:t>
      </w:r>
    </w:p>
    <w:p w:rsidR="004D47F9" w:rsidRDefault="004D47F9" w:rsidP="004D47F9">
      <w:pPr>
        <w:pStyle w:val="ListParagraph"/>
        <w:numPr>
          <w:ilvl w:val="0"/>
          <w:numId w:val="1"/>
        </w:numPr>
      </w:pPr>
      <w:r>
        <w:t>ISOT toolkit (ISBL)</w:t>
      </w:r>
    </w:p>
    <w:p w:rsidR="00D92D35" w:rsidRDefault="004D47F9" w:rsidP="00BC3C3D">
      <w:pPr>
        <w:pStyle w:val="ListParagraph"/>
        <w:numPr>
          <w:ilvl w:val="0"/>
          <w:numId w:val="1"/>
        </w:numPr>
      </w:pPr>
      <w:r>
        <w:t>View My Financial Insights toolkit (</w:t>
      </w:r>
      <w:proofErr w:type="spellStart"/>
      <w:r>
        <w:t>DfE</w:t>
      </w:r>
      <w:proofErr w:type="spellEnd"/>
      <w:r>
        <w:t>)</w:t>
      </w:r>
    </w:p>
    <w:p w:rsidR="00BB1FA8" w:rsidRDefault="00BB1FA8" w:rsidP="00BB1FA8">
      <w:r>
        <w:t>School data sources:</w:t>
      </w:r>
    </w:p>
    <w:p w:rsidR="00BB1FA8" w:rsidRPr="00CB3CF0" w:rsidRDefault="00BB1FA8" w:rsidP="00BB1FA8">
      <w:pPr>
        <w:pStyle w:val="ListParagraph"/>
        <w:numPr>
          <w:ilvl w:val="0"/>
          <w:numId w:val="4"/>
        </w:numPr>
        <w:rPr>
          <w:b/>
        </w:rPr>
      </w:pPr>
      <w:r>
        <w:t xml:space="preserve">Class Staffing analysis (Special </w:t>
      </w:r>
      <w:proofErr w:type="gramStart"/>
      <w:r>
        <w:t>Schools)</w:t>
      </w:r>
      <w:r w:rsidR="00CB3CF0">
        <w:t xml:space="preserve">  </w:t>
      </w:r>
      <w:r w:rsidR="00CB3CF0" w:rsidRPr="00CB3CF0">
        <w:rPr>
          <w:b/>
        </w:rPr>
        <w:t>Appendix</w:t>
      </w:r>
      <w:proofErr w:type="gramEnd"/>
      <w:r w:rsidR="00CB3CF0" w:rsidRPr="00CB3CF0">
        <w:rPr>
          <w:b/>
        </w:rPr>
        <w:t xml:space="preserve"> 1</w:t>
      </w:r>
    </w:p>
    <w:p w:rsidR="00BB1FA8" w:rsidRPr="00CB3CF0" w:rsidRDefault="00BB1FA8" w:rsidP="00BB1FA8">
      <w:pPr>
        <w:pStyle w:val="ListParagraph"/>
        <w:numPr>
          <w:ilvl w:val="0"/>
          <w:numId w:val="4"/>
        </w:numPr>
        <w:rPr>
          <w:b/>
        </w:rPr>
      </w:pPr>
      <w:r>
        <w:t>Teacher Matrix (All Schools)</w:t>
      </w:r>
      <w:r w:rsidR="00CB3CF0">
        <w:t xml:space="preserve"> </w:t>
      </w:r>
      <w:r w:rsidR="00CB3CF0" w:rsidRPr="00CB3CF0">
        <w:rPr>
          <w:b/>
        </w:rPr>
        <w:t>Appendix 2</w:t>
      </w:r>
    </w:p>
    <w:p w:rsidR="00BB1FA8" w:rsidRDefault="00BB1FA8" w:rsidP="00BB1FA8">
      <w:pPr>
        <w:pStyle w:val="ListParagraph"/>
        <w:numPr>
          <w:ilvl w:val="0"/>
          <w:numId w:val="4"/>
        </w:numPr>
      </w:pPr>
      <w:r>
        <w:t>HCSS KPIs and balances – using actual not lagged pupil numbers</w:t>
      </w:r>
    </w:p>
    <w:p w:rsidR="00BB1FA8" w:rsidRDefault="00EA3A54" w:rsidP="00BB1FA8">
      <w:r>
        <w:t>The COO &amp; Trust Finance Manager</w:t>
      </w:r>
      <w:r w:rsidR="00D92D35">
        <w:t xml:space="preserve"> will undertake this benchmarking analysis in preparation for summer term budget reviews and new academic year budget forecasting.  </w:t>
      </w:r>
      <w:r w:rsidR="00BB1FA8">
        <w:t xml:space="preserve">Data </w:t>
      </w:r>
      <w:r>
        <w:t xml:space="preserve">to inform this </w:t>
      </w:r>
      <w:r w:rsidR="00BB1FA8">
        <w:t>will be collected across the Autumn and Spring terms</w:t>
      </w:r>
      <w:r>
        <w:t xml:space="preserve"> by the COO, Trust Finance Manager and School Business Managers</w:t>
      </w:r>
      <w:r w:rsidR="00BB1FA8">
        <w:t>.</w:t>
      </w:r>
    </w:p>
    <w:p w:rsidR="00D92D35" w:rsidRDefault="00EA3A54" w:rsidP="00D92D35">
      <w:proofErr w:type="spellStart"/>
      <w:r>
        <w:t>Headteachers</w:t>
      </w:r>
      <w:proofErr w:type="spellEnd"/>
      <w:r w:rsidR="00D92D35">
        <w:t xml:space="preserve"> will be expected to provide their rationale/explanation for any metrics that are measured as significantly above or below the national and/or trust average.  To be clear, this is not a definitive judgement and should be used as an indicator to provoke further consideration.  Trustees will however require further information from School Leaders as part of the budget approval process.</w:t>
      </w:r>
      <w:r>
        <w:t xml:space="preserve">  In the first instance this will be provided to the COO and CEO.</w:t>
      </w:r>
    </w:p>
    <w:p w:rsidR="00D92D35" w:rsidRDefault="00D92D35" w:rsidP="00D92D35">
      <w:r>
        <w:t>School Characteristics and Benchmarking metrics are as follows:</w:t>
      </w:r>
    </w:p>
    <w:p w:rsidR="00076F8A" w:rsidRDefault="00076F8A" w:rsidP="00D92D35">
      <w:pPr>
        <w:rPr>
          <w:b/>
        </w:rPr>
      </w:pPr>
    </w:p>
    <w:p w:rsidR="00D92D35" w:rsidRPr="00D92D35" w:rsidRDefault="00D92D35" w:rsidP="00D92D35">
      <w:pPr>
        <w:rPr>
          <w:b/>
        </w:rPr>
      </w:pPr>
      <w:r w:rsidRPr="00D92D35">
        <w:rPr>
          <w:b/>
        </w:rPr>
        <w:t>School Characteristics</w:t>
      </w:r>
      <w:r>
        <w:rPr>
          <w:b/>
        </w:rPr>
        <w:t>:</w:t>
      </w:r>
    </w:p>
    <w:p w:rsidR="00D92D35" w:rsidRDefault="00EA3A54" w:rsidP="00D92D35">
      <w:pPr>
        <w:pStyle w:val="ListParagraph"/>
        <w:numPr>
          <w:ilvl w:val="0"/>
          <w:numId w:val="2"/>
        </w:numPr>
      </w:pPr>
      <w:r>
        <w:t>Total Income</w:t>
      </w:r>
    </w:p>
    <w:p w:rsidR="00D92D35" w:rsidRDefault="00EA3A54" w:rsidP="00D92D35">
      <w:pPr>
        <w:pStyle w:val="ListParagraph"/>
        <w:numPr>
          <w:ilvl w:val="0"/>
          <w:numId w:val="2"/>
        </w:numPr>
      </w:pPr>
      <w:r>
        <w:t>Total Staff Expenditure</w:t>
      </w:r>
    </w:p>
    <w:p w:rsidR="00D92D35" w:rsidRDefault="00EA3A54" w:rsidP="00D92D35">
      <w:pPr>
        <w:pStyle w:val="ListParagraph"/>
        <w:numPr>
          <w:ilvl w:val="0"/>
          <w:numId w:val="2"/>
        </w:numPr>
      </w:pPr>
      <w:r>
        <w:t>Total Non-Staff Expenditure</w:t>
      </w:r>
    </w:p>
    <w:p w:rsidR="00D92D35" w:rsidRDefault="00EA3A54" w:rsidP="00D92D35">
      <w:pPr>
        <w:pStyle w:val="ListParagraph"/>
        <w:numPr>
          <w:ilvl w:val="0"/>
          <w:numId w:val="2"/>
        </w:numPr>
      </w:pPr>
      <w:r>
        <w:t>Total Expenditure</w:t>
      </w:r>
    </w:p>
    <w:p w:rsidR="00D92D35" w:rsidRDefault="00EA3A54" w:rsidP="00742E25">
      <w:pPr>
        <w:pStyle w:val="ListParagraph"/>
        <w:numPr>
          <w:ilvl w:val="0"/>
          <w:numId w:val="2"/>
        </w:numPr>
      </w:pPr>
      <w:r>
        <w:t>In-Year Balance</w:t>
      </w:r>
    </w:p>
    <w:p w:rsidR="00D92D35" w:rsidRDefault="00D92D35" w:rsidP="00D92D35">
      <w:pPr>
        <w:pStyle w:val="ListParagraph"/>
      </w:pPr>
    </w:p>
    <w:p w:rsidR="00D92D35" w:rsidRDefault="00EA3A54" w:rsidP="00D92D35">
      <w:pPr>
        <w:pStyle w:val="ListParagraph"/>
        <w:numPr>
          <w:ilvl w:val="0"/>
          <w:numId w:val="2"/>
        </w:numPr>
      </w:pPr>
      <w:r>
        <w:t>Pupil Numbers Incl. Nursery FTE Oct Census</w:t>
      </w:r>
    </w:p>
    <w:p w:rsidR="00D92D35" w:rsidRDefault="00EA3A54" w:rsidP="00D92D35">
      <w:pPr>
        <w:pStyle w:val="ListParagraph"/>
        <w:numPr>
          <w:ilvl w:val="0"/>
          <w:numId w:val="2"/>
        </w:numPr>
      </w:pPr>
      <w:r>
        <w:t>Pan</w:t>
      </w:r>
    </w:p>
    <w:p w:rsidR="00D92D35" w:rsidRDefault="00EA3A54" w:rsidP="00D92D35">
      <w:pPr>
        <w:pStyle w:val="ListParagraph"/>
        <w:numPr>
          <w:ilvl w:val="0"/>
          <w:numId w:val="2"/>
        </w:numPr>
      </w:pPr>
      <w:r>
        <w:t>Pan (Full Capacity)</w:t>
      </w:r>
    </w:p>
    <w:p w:rsidR="00D92D35" w:rsidRDefault="00EA3A54" w:rsidP="00D92D35">
      <w:pPr>
        <w:pStyle w:val="ListParagraph"/>
        <w:numPr>
          <w:ilvl w:val="0"/>
          <w:numId w:val="2"/>
        </w:numPr>
      </w:pPr>
      <w:r>
        <w:t>Actual Oct Census</w:t>
      </w:r>
    </w:p>
    <w:p w:rsidR="00D92D35" w:rsidRDefault="00EA3A54" w:rsidP="00D92D35">
      <w:pPr>
        <w:pStyle w:val="ListParagraph"/>
        <w:numPr>
          <w:ilvl w:val="0"/>
          <w:numId w:val="2"/>
        </w:numPr>
      </w:pPr>
      <w:r>
        <w:t>% Above/Below</w:t>
      </w:r>
      <w:bookmarkStart w:id="0" w:name="_GoBack"/>
      <w:bookmarkEnd w:id="0"/>
    </w:p>
    <w:p w:rsidR="00D92D35" w:rsidRDefault="00D92D35" w:rsidP="00D92D35"/>
    <w:p w:rsidR="00D92D35" w:rsidRPr="00D92D35" w:rsidRDefault="00D92D35" w:rsidP="00D92D35">
      <w:pPr>
        <w:rPr>
          <w:b/>
        </w:rPr>
      </w:pPr>
      <w:r w:rsidRPr="00D92D35">
        <w:rPr>
          <w:b/>
        </w:rPr>
        <w:t>Benchmarking metrics:</w:t>
      </w:r>
    </w:p>
    <w:p w:rsidR="00D92D35" w:rsidRDefault="00D92D35" w:rsidP="00D92D35">
      <w:pPr>
        <w:pStyle w:val="ListParagraph"/>
        <w:numPr>
          <w:ilvl w:val="0"/>
          <w:numId w:val="3"/>
        </w:numPr>
      </w:pPr>
      <w:r>
        <w:t xml:space="preserve">Average Teacher </w:t>
      </w:r>
      <w:r w:rsidR="00EA3A54">
        <w:t>Cost</w:t>
      </w:r>
    </w:p>
    <w:p w:rsidR="00BB1FA8" w:rsidRDefault="00BB1FA8" w:rsidP="00D92D35">
      <w:pPr>
        <w:pStyle w:val="ListParagraph"/>
        <w:numPr>
          <w:ilvl w:val="0"/>
          <w:numId w:val="3"/>
        </w:numPr>
      </w:pPr>
      <w:r>
        <w:t xml:space="preserve">Leadership </w:t>
      </w:r>
      <w:r w:rsidR="00EA3A54">
        <w:t>Costs as a % Of Total Teaching Costs</w:t>
      </w:r>
    </w:p>
    <w:p w:rsidR="00D92D35" w:rsidRDefault="00D92D35" w:rsidP="00D92D35">
      <w:pPr>
        <w:pStyle w:val="ListParagraph"/>
        <w:numPr>
          <w:ilvl w:val="0"/>
          <w:numId w:val="3"/>
        </w:numPr>
      </w:pPr>
      <w:r>
        <w:t xml:space="preserve">Total Staff </w:t>
      </w:r>
      <w:r w:rsidR="00EA3A54">
        <w:t xml:space="preserve">Costs : </w:t>
      </w:r>
      <w:r>
        <w:t xml:space="preserve">Total </w:t>
      </w:r>
      <w:r w:rsidR="00EA3A54">
        <w:t>Income</w:t>
      </w:r>
    </w:p>
    <w:p w:rsidR="00D92D35" w:rsidRDefault="00D92D35" w:rsidP="00D92D35">
      <w:pPr>
        <w:pStyle w:val="ListParagraph"/>
        <w:numPr>
          <w:ilvl w:val="0"/>
          <w:numId w:val="3"/>
        </w:numPr>
      </w:pPr>
      <w:r>
        <w:t xml:space="preserve">Teaching </w:t>
      </w:r>
      <w:r w:rsidR="00EA3A54">
        <w:t xml:space="preserve">as % </w:t>
      </w:r>
      <w:r>
        <w:t xml:space="preserve">Total </w:t>
      </w:r>
      <w:r w:rsidR="00EA3A54">
        <w:t>Income</w:t>
      </w:r>
    </w:p>
    <w:p w:rsidR="00D92D35" w:rsidRDefault="00D92D35" w:rsidP="00D92D35">
      <w:pPr>
        <w:pStyle w:val="ListParagraph"/>
        <w:numPr>
          <w:ilvl w:val="0"/>
          <w:numId w:val="3"/>
        </w:numPr>
      </w:pPr>
      <w:r>
        <w:t xml:space="preserve">Classroom Support </w:t>
      </w:r>
      <w:r w:rsidR="00EA3A54">
        <w:t xml:space="preserve">as % Of </w:t>
      </w:r>
      <w:r>
        <w:t xml:space="preserve">Total </w:t>
      </w:r>
      <w:r w:rsidR="00EA3A54">
        <w:t>Income</w:t>
      </w:r>
    </w:p>
    <w:p w:rsidR="00D92D35" w:rsidRDefault="00D92D35" w:rsidP="00D92D35">
      <w:pPr>
        <w:pStyle w:val="ListParagraph"/>
        <w:numPr>
          <w:ilvl w:val="0"/>
          <w:numId w:val="3"/>
        </w:numPr>
      </w:pPr>
      <w:r>
        <w:t xml:space="preserve">Total </w:t>
      </w:r>
      <w:r w:rsidR="00EA3A54">
        <w:t>Staff Costs Per Pupil</w:t>
      </w:r>
    </w:p>
    <w:p w:rsidR="00D92D35" w:rsidRDefault="00D92D35" w:rsidP="00D92D35">
      <w:pPr>
        <w:pStyle w:val="ListParagraph"/>
        <w:numPr>
          <w:ilvl w:val="0"/>
          <w:numId w:val="3"/>
        </w:numPr>
      </w:pPr>
      <w:r>
        <w:t xml:space="preserve">Total Teacher </w:t>
      </w:r>
      <w:r w:rsidR="00EA3A54">
        <w:t>Cost Per Pupil</w:t>
      </w:r>
    </w:p>
    <w:p w:rsidR="00D92D35" w:rsidRDefault="00D92D35" w:rsidP="00925580">
      <w:pPr>
        <w:pStyle w:val="ListParagraph"/>
        <w:numPr>
          <w:ilvl w:val="0"/>
          <w:numId w:val="3"/>
        </w:numPr>
      </w:pPr>
      <w:r>
        <w:t xml:space="preserve">Total Classroom Support </w:t>
      </w:r>
      <w:r w:rsidR="00EA3A54">
        <w:t>Per Pupil</w:t>
      </w:r>
    </w:p>
    <w:p w:rsidR="00D92D35" w:rsidRDefault="00D92D35" w:rsidP="00D92D35">
      <w:pPr>
        <w:pStyle w:val="ListParagraph"/>
        <w:numPr>
          <w:ilvl w:val="0"/>
          <w:numId w:val="3"/>
        </w:numPr>
      </w:pPr>
      <w:r>
        <w:t xml:space="preserve">Non </w:t>
      </w:r>
      <w:r w:rsidR="00EA3A54">
        <w:t>Staff Costs Per Pupil</w:t>
      </w:r>
    </w:p>
    <w:p w:rsidR="00D92D35" w:rsidRDefault="00D92D35" w:rsidP="00D92D35">
      <w:pPr>
        <w:pStyle w:val="ListParagraph"/>
        <w:numPr>
          <w:ilvl w:val="0"/>
          <w:numId w:val="3"/>
        </w:numPr>
      </w:pPr>
      <w:r>
        <w:t xml:space="preserve">Premises Costs </w:t>
      </w:r>
      <w:r w:rsidR="00EA3A54">
        <w:t>Per Pupil</w:t>
      </w:r>
    </w:p>
    <w:p w:rsidR="00D92D35" w:rsidRDefault="00D92D35" w:rsidP="00D92D35">
      <w:pPr>
        <w:pStyle w:val="ListParagraph"/>
        <w:numPr>
          <w:ilvl w:val="0"/>
          <w:numId w:val="3"/>
        </w:numPr>
      </w:pPr>
      <w:r>
        <w:t xml:space="preserve">Educational Resources </w:t>
      </w:r>
      <w:r w:rsidR="00EA3A54">
        <w:t xml:space="preserve">(including </w:t>
      </w:r>
      <w:r>
        <w:t>ICT</w:t>
      </w:r>
      <w:r w:rsidR="00EA3A54">
        <w:t>) Per Pupil</w:t>
      </w:r>
    </w:p>
    <w:p w:rsidR="00CB3CF0" w:rsidRDefault="00CB3CF0" w:rsidP="00CB3CF0"/>
    <w:p w:rsidR="00CB3CF0" w:rsidRDefault="00CB3CF0" w:rsidP="00CB3CF0"/>
    <w:p w:rsidR="00CB3CF0" w:rsidRDefault="00CB3CF0" w:rsidP="00CB3CF0"/>
    <w:p w:rsidR="00CB3CF0" w:rsidRDefault="00CB3CF0" w:rsidP="00CB3CF0"/>
    <w:p w:rsidR="00CB3CF0" w:rsidRDefault="00CB3CF0" w:rsidP="00CB3CF0"/>
    <w:p w:rsidR="00CB3CF0" w:rsidRDefault="00CB3CF0" w:rsidP="00CB3CF0"/>
    <w:p w:rsidR="00CB3CF0" w:rsidRDefault="00CB3CF0" w:rsidP="00CB3CF0"/>
    <w:p w:rsidR="00CB3CF0" w:rsidRDefault="00CB3CF0" w:rsidP="00CB3CF0"/>
    <w:p w:rsidR="00CB3CF0" w:rsidRDefault="00CB3CF0" w:rsidP="00CB3CF0"/>
    <w:p w:rsidR="00CB3CF0" w:rsidRDefault="00CB3CF0" w:rsidP="00CB3CF0"/>
    <w:p w:rsidR="00CB3CF0" w:rsidRDefault="00CB3CF0" w:rsidP="00CB3CF0"/>
    <w:p w:rsidR="00CB3CF0" w:rsidRDefault="00CB3CF0" w:rsidP="00CB3CF0"/>
    <w:p w:rsidR="00CB3CF0" w:rsidRDefault="00CB3CF0" w:rsidP="00CB3CF0"/>
    <w:p w:rsidR="00CB3CF0" w:rsidRDefault="00CB3CF0" w:rsidP="00CB3CF0"/>
    <w:p w:rsidR="00CB3CF0" w:rsidRDefault="00CB3CF0" w:rsidP="00CB3CF0"/>
    <w:p w:rsidR="00CB3CF0" w:rsidRDefault="00CB3CF0" w:rsidP="00CB3CF0"/>
    <w:p w:rsidR="00CB3CF0" w:rsidRDefault="00CB3CF0" w:rsidP="00CB3CF0"/>
    <w:p w:rsidR="00CB3CF0" w:rsidRDefault="00CB3CF0" w:rsidP="00CB3CF0"/>
    <w:p w:rsidR="00CB3CF0" w:rsidRDefault="00CB3CF0" w:rsidP="00CB3CF0"/>
    <w:p w:rsidR="00CB3CF0" w:rsidRDefault="00CB3CF0" w:rsidP="00CB3CF0"/>
    <w:p w:rsidR="00CB3CF0" w:rsidRDefault="00CB3CF0" w:rsidP="00CB3CF0"/>
    <w:p w:rsidR="00CB3CF0" w:rsidRDefault="00CB3CF0" w:rsidP="00CB3CF0">
      <w:pPr>
        <w:sectPr w:rsidR="00CB3CF0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B3CF0" w:rsidRPr="00CB3CF0" w:rsidRDefault="00CB3CF0" w:rsidP="00CB3CF0">
      <w:pPr>
        <w:rPr>
          <w:b/>
        </w:rPr>
      </w:pPr>
      <w:r w:rsidRPr="00CB3CF0">
        <w:rPr>
          <w:b/>
        </w:rPr>
        <w:lastRenderedPageBreak/>
        <w:t>Appendix 1</w:t>
      </w:r>
    </w:p>
    <w:p w:rsidR="00CB3CF0" w:rsidRDefault="00CB3CF0" w:rsidP="00CB3CF0"/>
    <w:p w:rsidR="00CB3CF0" w:rsidRDefault="00CB3CF0" w:rsidP="00CB3CF0">
      <w:r w:rsidRPr="00CB3CF0">
        <w:rPr>
          <w:noProof/>
          <w:lang w:eastAsia="en-GB"/>
        </w:rPr>
        <w:drawing>
          <wp:inline distT="0" distB="0" distL="0" distR="0">
            <wp:extent cx="8863330" cy="283214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83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F0" w:rsidRDefault="00CB3CF0" w:rsidP="00CB3CF0"/>
    <w:p w:rsidR="00CB3CF0" w:rsidRDefault="00CB3CF0" w:rsidP="00CB3CF0"/>
    <w:p w:rsidR="00CB3CF0" w:rsidRDefault="00CB3CF0" w:rsidP="00CB3CF0"/>
    <w:p w:rsidR="00CB3CF0" w:rsidRDefault="00CB3CF0" w:rsidP="00CB3CF0"/>
    <w:p w:rsidR="00CB3CF0" w:rsidRDefault="00CB3CF0" w:rsidP="00CB3CF0"/>
    <w:p w:rsidR="00CB3CF0" w:rsidRDefault="00CB3CF0" w:rsidP="00CB3CF0"/>
    <w:p w:rsidR="00CB3CF0" w:rsidRDefault="00CB3CF0" w:rsidP="00CB3CF0"/>
    <w:p w:rsidR="00CB3CF0" w:rsidRDefault="00CB3CF0" w:rsidP="00CB3CF0"/>
    <w:p w:rsidR="00CB3CF0" w:rsidRPr="00CB3CF0" w:rsidRDefault="00CB3CF0" w:rsidP="00CB3CF0">
      <w:pPr>
        <w:rPr>
          <w:b/>
        </w:rPr>
      </w:pPr>
      <w:r w:rsidRPr="00CB3CF0">
        <w:rPr>
          <w:b/>
        </w:rPr>
        <w:lastRenderedPageBreak/>
        <w:t>Appendix 2</w:t>
      </w:r>
      <w:r>
        <w:rPr>
          <w:b/>
        </w:rPr>
        <w:t xml:space="preserve">   Special School Class Analysis</w:t>
      </w:r>
    </w:p>
    <w:p w:rsidR="00CB3CF0" w:rsidRDefault="00CB3CF0" w:rsidP="00CB3CF0"/>
    <w:p w:rsidR="00CB3CF0" w:rsidRDefault="00CB3CF0" w:rsidP="00CB3CF0">
      <w:r w:rsidRPr="00CB3CF0">
        <w:rPr>
          <w:noProof/>
          <w:lang w:eastAsia="en-GB"/>
        </w:rPr>
        <w:drawing>
          <wp:inline distT="0" distB="0" distL="0" distR="0">
            <wp:extent cx="8863330" cy="15877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58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A8" w:rsidRDefault="00BB1FA8" w:rsidP="00BB1FA8"/>
    <w:p w:rsidR="00D92D35" w:rsidRDefault="00D92D35" w:rsidP="00D92D35">
      <w:pPr>
        <w:pStyle w:val="ListParagraph"/>
      </w:pPr>
    </w:p>
    <w:sectPr w:rsidR="00D92D35" w:rsidSect="00CB3CF0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0B1" w:rsidRDefault="003350B1" w:rsidP="00EA3A54">
      <w:pPr>
        <w:spacing w:after="0" w:line="240" w:lineRule="auto"/>
      </w:pPr>
      <w:r>
        <w:separator/>
      </w:r>
    </w:p>
  </w:endnote>
  <w:endnote w:type="continuationSeparator" w:id="0">
    <w:p w:rsidR="003350B1" w:rsidRDefault="003350B1" w:rsidP="00EA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813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3A54" w:rsidRDefault="00EA3A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A3A54" w:rsidRDefault="00EA3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0B1" w:rsidRDefault="003350B1" w:rsidP="00EA3A54">
      <w:pPr>
        <w:spacing w:after="0" w:line="240" w:lineRule="auto"/>
      </w:pPr>
      <w:r>
        <w:separator/>
      </w:r>
    </w:p>
  </w:footnote>
  <w:footnote w:type="continuationSeparator" w:id="0">
    <w:p w:rsidR="003350B1" w:rsidRDefault="003350B1" w:rsidP="00EA3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700"/>
    <w:multiLevelType w:val="hybridMultilevel"/>
    <w:tmpl w:val="E8966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E0D7B"/>
    <w:multiLevelType w:val="hybridMultilevel"/>
    <w:tmpl w:val="C43A8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26FC2"/>
    <w:multiLevelType w:val="hybridMultilevel"/>
    <w:tmpl w:val="877C1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04E1C"/>
    <w:multiLevelType w:val="hybridMultilevel"/>
    <w:tmpl w:val="925A0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BD"/>
    <w:rsid w:val="00076F8A"/>
    <w:rsid w:val="000D5E00"/>
    <w:rsid w:val="0029002D"/>
    <w:rsid w:val="003350B1"/>
    <w:rsid w:val="004D47F9"/>
    <w:rsid w:val="007C39BD"/>
    <w:rsid w:val="00BB1FA8"/>
    <w:rsid w:val="00CB3CF0"/>
    <w:rsid w:val="00D92D35"/>
    <w:rsid w:val="00EA3A54"/>
    <w:rsid w:val="00FC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36EF6"/>
  <w15:chartTrackingRefBased/>
  <w15:docId w15:val="{C8779BA6-9783-48F9-887C-32296AF5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7F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C39C2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FC39C2"/>
    <w:rPr>
      <w:rFonts w:ascii="Calibri" w:eastAsia="MS Mincho" w:hAnsi="Calibri" w:cs="Arial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EA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A54"/>
  </w:style>
  <w:style w:type="paragraph" w:styleId="Footer">
    <w:name w:val="footer"/>
    <w:basedOn w:val="Normal"/>
    <w:link w:val="FooterChar"/>
    <w:uiPriority w:val="99"/>
    <w:unhideWhenUsed/>
    <w:rsid w:val="00EA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3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0B80C9FDD04408DEF8BEF3C8D0597" ma:contentTypeVersion="15" ma:contentTypeDescription="Create a new document." ma:contentTypeScope="" ma:versionID="669939a60f757488e6ef8599e7e754e6">
  <xsd:schema xmlns:xsd="http://www.w3.org/2001/XMLSchema" xmlns:xs="http://www.w3.org/2001/XMLSchema" xmlns:p="http://schemas.microsoft.com/office/2006/metadata/properties" xmlns:ns2="69cd0928-9a77-479c-a3b1-4e21cbd99e9f" targetNamespace="http://schemas.microsoft.com/office/2006/metadata/properties" ma:root="true" ma:fieldsID="943be0b2eecafde52ce3c95f9bc44bb1" ns2:_="">
    <xsd:import namespace="69cd0928-9a77-479c-a3b1-4e21cbd99e9f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2:SharedWithUsers" minOccurs="0"/>
                <xsd:element ref="ns2:SharedWithDetails" minOccurs="0"/>
                <xsd:element ref="ns2:SharingHintHash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0928-9a77-479c-a3b1-4e21cbd99e9f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69cd0928-9a77-479c-a3b1-4e21cbd99e9f" xsi:nil="true"/>
    <CloudMigratorVersion xmlns="69cd0928-9a77-479c-a3b1-4e21cbd99e9f" xsi:nil="true"/>
    <CloudMigratorOriginId xmlns="69cd0928-9a77-479c-a3b1-4e21cbd99e9f" xsi:nil="true"/>
    <FileHash xmlns="69cd0928-9a77-479c-a3b1-4e21cbd99e9f" xsi:nil="true"/>
  </documentManagement>
</p:properties>
</file>

<file path=customXml/itemProps1.xml><?xml version="1.0" encoding="utf-8"?>
<ds:datastoreItem xmlns:ds="http://schemas.openxmlformats.org/officeDocument/2006/customXml" ds:itemID="{D5C7754A-7ABD-4935-A346-BFE39109A719}"/>
</file>

<file path=customXml/itemProps2.xml><?xml version="1.0" encoding="utf-8"?>
<ds:datastoreItem xmlns:ds="http://schemas.openxmlformats.org/officeDocument/2006/customXml" ds:itemID="{0F325E1B-2254-46E5-A55F-A283F6569F56}"/>
</file>

<file path=customXml/itemProps3.xml><?xml version="1.0" encoding="utf-8"?>
<ds:datastoreItem xmlns:ds="http://schemas.openxmlformats.org/officeDocument/2006/customXml" ds:itemID="{016551FC-D88E-4353-83E6-1B3B5AAA0A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NSiddle</dc:creator>
  <cp:keywords/>
  <dc:description/>
  <cp:lastModifiedBy>Nina Siddle</cp:lastModifiedBy>
  <cp:revision>5</cp:revision>
  <dcterms:created xsi:type="dcterms:W3CDTF">2021-03-30T07:02:00Z</dcterms:created>
  <dcterms:modified xsi:type="dcterms:W3CDTF">2021-06-24T07:53:00Z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0x010100BF50B80C9FDD04408DEF8BEF3C8D0597</vt:lpwstr>
  </property>
</Properties>
</file>