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84" w:rsidRDefault="004973D9">
      <w:pPr>
        <w:keepNext/>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Appendix W</w:t>
      </w:r>
    </w:p>
    <w:p w:rsidR="00403D84" w:rsidRDefault="004973D9">
      <w:pPr>
        <w:keepNext/>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GENERIC CRYPTOSPORIDIUM RISK ASSESSMENT</w:t>
      </w:r>
    </w:p>
    <w:p w:rsidR="00403D84" w:rsidRDefault="00403D84">
      <w:pPr>
        <w:rPr>
          <w:sz w:val="8"/>
          <w:szCs w:val="8"/>
        </w:rPr>
      </w:pPr>
    </w:p>
    <w:tbl>
      <w:tblPr>
        <w:tblStyle w:val="a"/>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4"/>
        <w:gridCol w:w="4650"/>
        <w:gridCol w:w="5437"/>
      </w:tblGrid>
      <w:tr w:rsidR="00403D84">
        <w:tc>
          <w:tcPr>
            <w:tcW w:w="5364" w:type="dxa"/>
          </w:tcPr>
          <w:p w:rsidR="00403D84" w:rsidRDefault="004973D9">
            <w:pPr>
              <w:rPr>
                <w:rFonts w:ascii="Arial" w:eastAsia="Arial" w:hAnsi="Arial" w:cs="Arial"/>
                <w:b/>
                <w:sz w:val="22"/>
                <w:szCs w:val="22"/>
              </w:rPr>
            </w:pPr>
            <w:r>
              <w:rPr>
                <w:rFonts w:ascii="Arial" w:eastAsia="Arial" w:hAnsi="Arial" w:cs="Arial"/>
                <w:b/>
                <w:sz w:val="22"/>
                <w:szCs w:val="22"/>
              </w:rPr>
              <w:t>Service Area</w:t>
            </w:r>
          </w:p>
          <w:p w:rsidR="00403D84" w:rsidRDefault="00403D84">
            <w:pPr>
              <w:rPr>
                <w:rFonts w:ascii="Arial" w:eastAsia="Arial" w:hAnsi="Arial" w:cs="Arial"/>
                <w:b/>
                <w:sz w:val="22"/>
                <w:szCs w:val="22"/>
              </w:rPr>
            </w:pPr>
          </w:p>
          <w:p w:rsidR="00403D84" w:rsidRDefault="00403D84">
            <w:pPr>
              <w:rPr>
                <w:rFonts w:ascii="Arial" w:eastAsia="Arial" w:hAnsi="Arial" w:cs="Arial"/>
                <w:b/>
                <w:sz w:val="22"/>
                <w:szCs w:val="22"/>
              </w:rPr>
            </w:pPr>
          </w:p>
        </w:tc>
        <w:tc>
          <w:tcPr>
            <w:tcW w:w="4650" w:type="dxa"/>
          </w:tcPr>
          <w:p w:rsidR="00403D84" w:rsidRDefault="004973D9">
            <w:pPr>
              <w:rPr>
                <w:rFonts w:ascii="Arial" w:eastAsia="Arial" w:hAnsi="Arial" w:cs="Arial"/>
                <w:b/>
                <w:sz w:val="22"/>
                <w:szCs w:val="22"/>
              </w:rPr>
            </w:pPr>
            <w:r>
              <w:rPr>
                <w:rFonts w:ascii="Arial" w:eastAsia="Arial" w:hAnsi="Arial" w:cs="Arial"/>
                <w:b/>
                <w:sz w:val="22"/>
                <w:szCs w:val="22"/>
              </w:rPr>
              <w:t>School/Location</w:t>
            </w:r>
          </w:p>
        </w:tc>
        <w:tc>
          <w:tcPr>
            <w:tcW w:w="5437" w:type="dxa"/>
          </w:tcPr>
          <w:p w:rsidR="00403D84" w:rsidRDefault="004973D9">
            <w:pPr>
              <w:rPr>
                <w:rFonts w:ascii="Arial" w:eastAsia="Arial" w:hAnsi="Arial" w:cs="Arial"/>
                <w:b/>
                <w:sz w:val="22"/>
                <w:szCs w:val="22"/>
              </w:rPr>
            </w:pPr>
            <w:r>
              <w:rPr>
                <w:rFonts w:ascii="Arial" w:eastAsia="Arial" w:hAnsi="Arial" w:cs="Arial"/>
                <w:b/>
                <w:sz w:val="22"/>
                <w:szCs w:val="22"/>
              </w:rPr>
              <w:t>Name of Assessor</w:t>
            </w:r>
          </w:p>
        </w:tc>
      </w:tr>
      <w:tr w:rsidR="00403D84">
        <w:tc>
          <w:tcPr>
            <w:tcW w:w="5364" w:type="dxa"/>
          </w:tcPr>
          <w:p w:rsidR="00403D84" w:rsidRDefault="004973D9">
            <w:pPr>
              <w:rPr>
                <w:rFonts w:ascii="Arial" w:eastAsia="Arial" w:hAnsi="Arial" w:cs="Arial"/>
                <w:b/>
                <w:sz w:val="22"/>
                <w:szCs w:val="22"/>
              </w:rPr>
            </w:pPr>
            <w:r>
              <w:rPr>
                <w:rFonts w:ascii="Arial" w:eastAsia="Arial" w:hAnsi="Arial" w:cs="Arial"/>
                <w:b/>
                <w:sz w:val="22"/>
                <w:szCs w:val="22"/>
              </w:rPr>
              <w:t>Date of Assessment</w:t>
            </w:r>
          </w:p>
          <w:p w:rsidR="00403D84" w:rsidRDefault="00403D84">
            <w:pPr>
              <w:rPr>
                <w:rFonts w:ascii="Arial" w:eastAsia="Arial" w:hAnsi="Arial" w:cs="Arial"/>
                <w:b/>
                <w:sz w:val="22"/>
                <w:szCs w:val="22"/>
              </w:rPr>
            </w:pPr>
          </w:p>
          <w:p w:rsidR="00403D84" w:rsidRDefault="00403D84">
            <w:pPr>
              <w:rPr>
                <w:rFonts w:ascii="Arial" w:eastAsia="Arial" w:hAnsi="Arial" w:cs="Arial"/>
                <w:b/>
                <w:sz w:val="22"/>
                <w:szCs w:val="22"/>
              </w:rPr>
            </w:pPr>
          </w:p>
        </w:tc>
        <w:tc>
          <w:tcPr>
            <w:tcW w:w="4650" w:type="dxa"/>
          </w:tcPr>
          <w:p w:rsidR="00403D84" w:rsidRDefault="004973D9">
            <w:pPr>
              <w:rPr>
                <w:rFonts w:ascii="Arial" w:eastAsia="Arial" w:hAnsi="Arial" w:cs="Arial"/>
                <w:b/>
                <w:sz w:val="22"/>
                <w:szCs w:val="22"/>
              </w:rPr>
            </w:pPr>
            <w:r>
              <w:rPr>
                <w:rFonts w:ascii="Arial" w:eastAsia="Arial" w:hAnsi="Arial" w:cs="Arial"/>
                <w:b/>
                <w:sz w:val="22"/>
                <w:szCs w:val="22"/>
              </w:rPr>
              <w:t>Job Type</w:t>
            </w:r>
          </w:p>
        </w:tc>
        <w:tc>
          <w:tcPr>
            <w:tcW w:w="5437" w:type="dxa"/>
          </w:tcPr>
          <w:p w:rsidR="00403D84" w:rsidRDefault="004973D9">
            <w:pPr>
              <w:rPr>
                <w:rFonts w:ascii="Arial" w:eastAsia="Arial" w:hAnsi="Arial" w:cs="Arial"/>
                <w:b/>
                <w:sz w:val="22"/>
                <w:szCs w:val="22"/>
              </w:rPr>
            </w:pPr>
            <w:r>
              <w:rPr>
                <w:rFonts w:ascii="Arial" w:eastAsia="Arial" w:hAnsi="Arial" w:cs="Arial"/>
                <w:b/>
                <w:sz w:val="22"/>
                <w:szCs w:val="22"/>
              </w:rPr>
              <w:t>Frequency/Duration</w:t>
            </w:r>
          </w:p>
        </w:tc>
      </w:tr>
    </w:tbl>
    <w:p w:rsidR="00403D84" w:rsidRDefault="00403D84">
      <w:pPr>
        <w:rPr>
          <w:sz w:val="8"/>
          <w:szCs w:val="8"/>
        </w:rPr>
      </w:pPr>
    </w:p>
    <w:tbl>
      <w:tblPr>
        <w:tblStyle w:val="a0"/>
        <w:tblW w:w="15451" w:type="dxa"/>
        <w:tblInd w:w="-71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5451"/>
      </w:tblGrid>
      <w:tr w:rsidR="00403D84">
        <w:trPr>
          <w:trHeight w:val="5663"/>
        </w:trPr>
        <w:tc>
          <w:tcPr>
            <w:tcW w:w="15451" w:type="dxa"/>
            <w:tcBorders>
              <w:top w:val="single" w:sz="4" w:space="0" w:color="000000"/>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b/>
                <w:sz w:val="8"/>
                <w:szCs w:val="8"/>
              </w:rPr>
            </w:pPr>
          </w:p>
          <w:p w:rsidR="00403D84" w:rsidRDefault="004973D9">
            <w:pPr>
              <w:ind w:left="174"/>
              <w:rPr>
                <w:rFonts w:ascii="Arial Narrow" w:eastAsia="Arial Narrow" w:hAnsi="Arial Narrow" w:cs="Arial Narrow"/>
                <w:sz w:val="22"/>
                <w:szCs w:val="22"/>
              </w:rPr>
            </w:pPr>
            <w:r>
              <w:rPr>
                <w:rFonts w:ascii="Arial Narrow" w:eastAsia="Arial Narrow" w:hAnsi="Arial Narrow" w:cs="Arial Narrow"/>
                <w:b/>
                <w:sz w:val="22"/>
                <w:szCs w:val="22"/>
              </w:rPr>
              <w:t>Background to Cryptosporidium</w:t>
            </w:r>
          </w:p>
          <w:p w:rsidR="00403D84" w:rsidRDefault="004973D9">
            <w:pPr>
              <w:spacing w:before="280"/>
              <w:ind w:left="174" w:right="311"/>
              <w:jc w:val="both"/>
              <w:rPr>
                <w:rFonts w:ascii="Arial Narrow" w:eastAsia="Arial Narrow" w:hAnsi="Arial Narrow" w:cs="Arial Narrow"/>
                <w:sz w:val="22"/>
                <w:szCs w:val="22"/>
              </w:rPr>
            </w:pPr>
            <w:r>
              <w:rPr>
                <w:rFonts w:ascii="Arial Narrow" w:eastAsia="Arial Narrow" w:hAnsi="Arial Narrow" w:cs="Arial Narrow"/>
                <w:sz w:val="22"/>
                <w:szCs w:val="22"/>
              </w:rPr>
              <w:t>Cryptosporidium is a protozoan parasite (single-celled organism) about 4-6µm in size</w:t>
            </w:r>
            <w:r>
              <w:rPr>
                <w:rFonts w:ascii="Arial Narrow" w:eastAsia="Arial Narrow" w:hAnsi="Arial Narrow" w:cs="Arial Narrow"/>
                <w:color w:val="333333"/>
                <w:sz w:val="22"/>
                <w:szCs w:val="22"/>
              </w:rPr>
              <w:t xml:space="preserve"> living in the intestine of infected humans or animals</w:t>
            </w:r>
            <w:r>
              <w:rPr>
                <w:rFonts w:ascii="Arial Narrow" w:eastAsia="Arial Narrow" w:hAnsi="Arial Narrow" w:cs="Arial Narrow"/>
                <w:sz w:val="22"/>
                <w:szCs w:val="22"/>
              </w:rPr>
              <w:t>.  The parasite reproduces in the intestines producing thick-walled oocysts that will be excreted through faecal matte</w:t>
            </w:r>
            <w:r>
              <w:rPr>
                <w:rFonts w:ascii="Arial Narrow" w:eastAsia="Arial Narrow" w:hAnsi="Arial Narrow" w:cs="Arial Narrow"/>
                <w:sz w:val="22"/>
                <w:szCs w:val="22"/>
              </w:rPr>
              <w:t xml:space="preserve">r or a thin-walled oocyst which will infect the host.  </w:t>
            </w:r>
            <w:r>
              <w:rPr>
                <w:rFonts w:ascii="Arial Narrow" w:eastAsia="Arial Narrow" w:hAnsi="Arial Narrow" w:cs="Arial Narrow"/>
                <w:color w:val="333333"/>
                <w:sz w:val="22"/>
                <w:szCs w:val="22"/>
              </w:rPr>
              <w:t xml:space="preserve">Millions of Cryptosporidium parasites can be released in a bowel movement from an infected human which if occurs in a swimming pool will contaminate the water.  </w:t>
            </w:r>
            <w:r>
              <w:rPr>
                <w:rFonts w:ascii="Arial Narrow" w:eastAsia="Arial Narrow" w:hAnsi="Arial Narrow" w:cs="Arial Narrow"/>
                <w:sz w:val="22"/>
                <w:szCs w:val="22"/>
              </w:rPr>
              <w:t>Transmission of the parasite, from one p</w:t>
            </w:r>
            <w:r>
              <w:rPr>
                <w:rFonts w:ascii="Arial Narrow" w:eastAsia="Arial Narrow" w:hAnsi="Arial Narrow" w:cs="Arial Narrow"/>
                <w:sz w:val="22"/>
                <w:szCs w:val="22"/>
              </w:rPr>
              <w:t xml:space="preserve">erson to another in a swimming pool, occurs when water is swallowed and the oocysts ingested.  This can cause Cryptosporidiosis, which is extremely infectious.  </w:t>
            </w:r>
          </w:p>
          <w:p w:rsidR="00403D84" w:rsidRDefault="00403D84">
            <w:pPr>
              <w:ind w:left="174" w:right="311"/>
              <w:jc w:val="both"/>
              <w:rPr>
                <w:rFonts w:ascii="Arial Narrow" w:eastAsia="Arial Narrow" w:hAnsi="Arial Narrow" w:cs="Arial Narrow"/>
                <w:sz w:val="22"/>
                <w:szCs w:val="22"/>
              </w:rPr>
            </w:pPr>
          </w:p>
          <w:p w:rsidR="00403D84" w:rsidRDefault="004973D9">
            <w:pPr>
              <w:ind w:left="174" w:right="311"/>
              <w:jc w:val="both"/>
              <w:rPr>
                <w:rFonts w:ascii="Arial Narrow" w:eastAsia="Arial Narrow" w:hAnsi="Arial Narrow" w:cs="Arial Narrow"/>
                <w:sz w:val="22"/>
                <w:szCs w:val="22"/>
              </w:rPr>
            </w:pPr>
            <w:r>
              <w:rPr>
                <w:rFonts w:ascii="Arial Narrow" w:eastAsia="Arial Narrow" w:hAnsi="Arial Narrow" w:cs="Arial Narrow"/>
                <w:sz w:val="22"/>
                <w:szCs w:val="22"/>
              </w:rPr>
              <w:t>T</w:t>
            </w:r>
            <w:r>
              <w:rPr>
                <w:rFonts w:ascii="Arial Narrow" w:eastAsia="Arial Narrow" w:hAnsi="Arial Narrow" w:cs="Arial Narrow"/>
                <w:color w:val="333333"/>
                <w:sz w:val="22"/>
                <w:szCs w:val="22"/>
              </w:rPr>
              <w:t>he thick outer shell wall of an oocyst allows it to survive outside the body for long period</w:t>
            </w:r>
            <w:r>
              <w:rPr>
                <w:rFonts w:ascii="Arial Narrow" w:eastAsia="Arial Narrow" w:hAnsi="Arial Narrow" w:cs="Arial Narrow"/>
                <w:color w:val="333333"/>
                <w:sz w:val="22"/>
                <w:szCs w:val="22"/>
              </w:rPr>
              <w:t xml:space="preserve">s of time and makes it very resistant to chlorine-based disinfectants; it </w:t>
            </w:r>
            <w:r>
              <w:rPr>
                <w:rFonts w:ascii="Arial Narrow" w:eastAsia="Arial Narrow" w:hAnsi="Arial Narrow" w:cs="Arial Narrow"/>
                <w:sz w:val="22"/>
                <w:szCs w:val="22"/>
              </w:rPr>
              <w:t>can also withstand freezing temperatures</w:t>
            </w:r>
            <w:r>
              <w:rPr>
                <w:rFonts w:ascii="Arial Narrow" w:eastAsia="Arial Narrow" w:hAnsi="Arial Narrow" w:cs="Arial Narrow"/>
                <w:color w:val="333333"/>
                <w:sz w:val="22"/>
                <w:szCs w:val="22"/>
              </w:rPr>
              <w:t xml:space="preserve">.  Cryptosporidium oocysts are shed in the stool when the symptoms begin and can last for weeks after the symptoms stop.  </w:t>
            </w:r>
            <w:r>
              <w:rPr>
                <w:rFonts w:ascii="Arial Narrow" w:eastAsia="Arial Narrow" w:hAnsi="Arial Narrow" w:cs="Arial Narrow"/>
                <w:sz w:val="22"/>
                <w:szCs w:val="22"/>
              </w:rPr>
              <w:t>Young children are o</w:t>
            </w:r>
            <w:r>
              <w:rPr>
                <w:rFonts w:ascii="Arial Narrow" w:eastAsia="Arial Narrow" w:hAnsi="Arial Narrow" w:cs="Arial Narrow"/>
                <w:sz w:val="22"/>
                <w:szCs w:val="22"/>
              </w:rPr>
              <w:t>ften the infected host and are most likely to become infected.  Some people who become infected with cryptosporidium actually have no symptoms; however, they can still pass on the infection to others.</w:t>
            </w:r>
          </w:p>
          <w:p w:rsidR="00403D84" w:rsidRDefault="00403D84">
            <w:pPr>
              <w:ind w:left="174" w:right="311"/>
              <w:jc w:val="both"/>
              <w:rPr>
                <w:rFonts w:ascii="Arial Narrow" w:eastAsia="Arial Narrow" w:hAnsi="Arial Narrow" w:cs="Arial Narrow"/>
                <w:sz w:val="22"/>
                <w:szCs w:val="22"/>
              </w:rPr>
            </w:pPr>
          </w:p>
          <w:p w:rsidR="00403D84" w:rsidRDefault="004973D9">
            <w:pPr>
              <w:ind w:left="174" w:right="311"/>
              <w:jc w:val="both"/>
              <w:rPr>
                <w:rFonts w:ascii="Arial Narrow" w:eastAsia="Arial Narrow" w:hAnsi="Arial Narrow" w:cs="Arial Narrow"/>
                <w:color w:val="333333"/>
                <w:sz w:val="22"/>
                <w:szCs w:val="22"/>
              </w:rPr>
            </w:pPr>
            <w:r>
              <w:rPr>
                <w:rFonts w:ascii="Arial Narrow" w:eastAsia="Arial Narrow" w:hAnsi="Arial Narrow" w:cs="Arial Narrow"/>
                <w:sz w:val="22"/>
                <w:szCs w:val="22"/>
              </w:rPr>
              <w:t xml:space="preserve">It can take between 3 to 12 days after contact with cryptosporidium before symptoms develop.  The main symptoms of cryptosporidiosis are watery diarrhoea with abdominal cramps; vomiting, fever and loss of appetite are also common.  </w:t>
            </w:r>
            <w:r>
              <w:rPr>
                <w:rFonts w:ascii="Arial Narrow" w:eastAsia="Arial Narrow" w:hAnsi="Arial Narrow" w:cs="Arial Narrow"/>
                <w:color w:val="333333"/>
                <w:sz w:val="22"/>
                <w:szCs w:val="22"/>
              </w:rPr>
              <w:t xml:space="preserve">In persons with healthy </w:t>
            </w:r>
            <w:r>
              <w:rPr>
                <w:rFonts w:ascii="Arial Narrow" w:eastAsia="Arial Narrow" w:hAnsi="Arial Narrow" w:cs="Arial Narrow"/>
                <w:color w:val="333333"/>
                <w:sz w:val="22"/>
                <w:szCs w:val="22"/>
              </w:rPr>
              <w:t xml:space="preserve">immune systems, symptoms usually last about one to two weeks but can last up to one month.  The symptoms may go in cycles in which people may seem to get better for a few days, then feel worse again before the illness ends.  </w:t>
            </w:r>
            <w:r>
              <w:rPr>
                <w:rFonts w:ascii="Arial Narrow" w:eastAsia="Arial Narrow" w:hAnsi="Arial Narrow" w:cs="Arial Narrow"/>
                <w:sz w:val="22"/>
                <w:szCs w:val="22"/>
              </w:rPr>
              <w:t>Sometimes a child may need to b</w:t>
            </w:r>
            <w:r>
              <w:rPr>
                <w:rFonts w:ascii="Arial Narrow" w:eastAsia="Arial Narrow" w:hAnsi="Arial Narrow" w:cs="Arial Narrow"/>
                <w:sz w:val="22"/>
                <w:szCs w:val="22"/>
              </w:rPr>
              <w:t xml:space="preserve">e admitted to hospital for treatment if they become dehydrated.  </w:t>
            </w:r>
            <w:r>
              <w:rPr>
                <w:rFonts w:ascii="Arial Narrow" w:eastAsia="Arial Narrow" w:hAnsi="Arial Narrow" w:cs="Arial Narrow"/>
                <w:color w:val="333333"/>
                <w:sz w:val="22"/>
                <w:szCs w:val="22"/>
              </w:rPr>
              <w:t>People who are in poor health or who have weakened immune systems are at higher risk for more severe and more prolonged illness which can sometimes be life threatening.</w:t>
            </w:r>
          </w:p>
          <w:p w:rsidR="00403D84" w:rsidRDefault="00403D84">
            <w:pPr>
              <w:ind w:left="174" w:right="311"/>
              <w:jc w:val="both"/>
              <w:rPr>
                <w:rFonts w:ascii="Arial Narrow" w:eastAsia="Arial Narrow" w:hAnsi="Arial Narrow" w:cs="Arial Narrow"/>
                <w:color w:val="333333"/>
                <w:sz w:val="22"/>
                <w:szCs w:val="22"/>
              </w:rPr>
            </w:pPr>
          </w:p>
          <w:p w:rsidR="00403D84" w:rsidRDefault="004973D9">
            <w:pPr>
              <w:ind w:left="174" w:right="311"/>
              <w:jc w:val="both"/>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Persons diagnosed wit</w:t>
            </w:r>
            <w:r>
              <w:rPr>
                <w:rFonts w:ascii="Arial Narrow" w:eastAsia="Arial Narrow" w:hAnsi="Arial Narrow" w:cs="Arial Narrow"/>
                <w:color w:val="333333"/>
                <w:sz w:val="22"/>
                <w:szCs w:val="22"/>
              </w:rPr>
              <w:t xml:space="preserve">h, or where there is a suspicion that they have had, </w:t>
            </w:r>
            <w:r>
              <w:rPr>
                <w:rFonts w:ascii="Arial Narrow" w:eastAsia="Arial Narrow" w:hAnsi="Arial Narrow" w:cs="Arial Narrow"/>
                <w:sz w:val="22"/>
                <w:szCs w:val="22"/>
              </w:rPr>
              <w:t>cryptosporidiosis</w:t>
            </w:r>
            <w:r>
              <w:rPr>
                <w:rFonts w:ascii="Arial Narrow" w:eastAsia="Arial Narrow" w:hAnsi="Arial Narrow" w:cs="Arial Narrow"/>
                <w:color w:val="333333"/>
                <w:sz w:val="22"/>
                <w:szCs w:val="22"/>
              </w:rPr>
              <w:t xml:space="preserve"> should not swim in swimming pools for at least 14 days after the diarrhoea stops.  Cryptosporidium can still be passed in stools and contaminate water for several weeks after the sympto</w:t>
            </w:r>
            <w:r>
              <w:rPr>
                <w:rFonts w:ascii="Arial Narrow" w:eastAsia="Arial Narrow" w:hAnsi="Arial Narrow" w:cs="Arial Narrow"/>
                <w:color w:val="333333"/>
                <w:sz w:val="22"/>
                <w:szCs w:val="22"/>
              </w:rPr>
              <w:t>ms have ended.  There is not even need to have a faecal accident in the water; immersion in the water may be enough for contamination to occur.</w:t>
            </w:r>
          </w:p>
          <w:p w:rsidR="00403D84" w:rsidRDefault="00403D84">
            <w:pPr>
              <w:ind w:left="174" w:right="311"/>
              <w:jc w:val="both"/>
              <w:rPr>
                <w:rFonts w:ascii="Arial Narrow" w:eastAsia="Arial Narrow" w:hAnsi="Arial Narrow" w:cs="Arial Narrow"/>
                <w:color w:val="333333"/>
                <w:sz w:val="22"/>
                <w:szCs w:val="22"/>
              </w:rPr>
            </w:pPr>
          </w:p>
          <w:p w:rsidR="00403D84" w:rsidRDefault="00403D84">
            <w:pPr>
              <w:ind w:left="174" w:right="311"/>
              <w:jc w:val="both"/>
              <w:rPr>
                <w:rFonts w:ascii="Arial Narrow" w:eastAsia="Arial Narrow" w:hAnsi="Arial Narrow" w:cs="Arial Narrow"/>
                <w:color w:val="333333"/>
                <w:sz w:val="22"/>
                <w:szCs w:val="22"/>
              </w:rPr>
            </w:pPr>
            <w:bookmarkStart w:id="0" w:name="_heading=h.gjdgxs" w:colFirst="0" w:colLast="0"/>
            <w:bookmarkEnd w:id="0"/>
          </w:p>
        </w:tc>
      </w:tr>
    </w:tbl>
    <w:p w:rsidR="00403D84" w:rsidRDefault="00403D84">
      <w:pPr>
        <w:pBdr>
          <w:top w:val="nil"/>
          <w:left w:val="nil"/>
          <w:bottom w:val="nil"/>
          <w:right w:val="nil"/>
          <w:between w:val="nil"/>
        </w:pBdr>
        <w:tabs>
          <w:tab w:val="center" w:pos="4320"/>
          <w:tab w:val="right" w:pos="8640"/>
        </w:tabs>
        <w:rPr>
          <w:color w:val="000000"/>
        </w:rPr>
      </w:pPr>
    </w:p>
    <w:tbl>
      <w:tblPr>
        <w:tblStyle w:val="a1"/>
        <w:tblW w:w="15588" w:type="dxa"/>
        <w:tblInd w:w="-74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784"/>
        <w:gridCol w:w="2540"/>
        <w:gridCol w:w="2709"/>
        <w:gridCol w:w="2890"/>
        <w:gridCol w:w="993"/>
        <w:gridCol w:w="992"/>
        <w:gridCol w:w="800"/>
        <w:gridCol w:w="1080"/>
        <w:gridCol w:w="900"/>
        <w:gridCol w:w="900"/>
      </w:tblGrid>
      <w:tr w:rsidR="00403D84">
        <w:trPr>
          <w:trHeight w:val="815"/>
        </w:trPr>
        <w:tc>
          <w:tcPr>
            <w:tcW w:w="1784" w:type="dxa"/>
            <w:vMerge w:val="restart"/>
            <w:tcBorders>
              <w:top w:val="single" w:sz="4" w:space="0" w:color="000000"/>
            </w:tcBorders>
            <w:shd w:val="clear" w:color="auto" w:fill="E6E6E6"/>
            <w:vAlign w:val="center"/>
          </w:tcPr>
          <w:p w:rsidR="00403D84" w:rsidRDefault="004973D9">
            <w:pPr>
              <w:pStyle w:val="Heading1"/>
              <w:rPr>
                <w:rFonts w:ascii="Arial Narrow" w:eastAsia="Arial Narrow" w:hAnsi="Arial Narrow" w:cs="Arial Narrow"/>
                <w:sz w:val="20"/>
              </w:rPr>
            </w:pPr>
            <w:r>
              <w:rPr>
                <w:rFonts w:ascii="Arial Narrow" w:eastAsia="Arial Narrow" w:hAnsi="Arial Narrow" w:cs="Arial Narrow"/>
                <w:sz w:val="20"/>
              </w:rPr>
              <w:lastRenderedPageBreak/>
              <w:t>What are the Hazards?</w:t>
            </w:r>
          </w:p>
          <w:p w:rsidR="00403D84" w:rsidRDefault="00403D84">
            <w:pPr>
              <w:rPr>
                <w:rFonts w:ascii="Arial Narrow" w:eastAsia="Arial Narrow" w:hAnsi="Arial Narrow" w:cs="Arial Narrow"/>
                <w:b/>
              </w:rPr>
            </w:pPr>
          </w:p>
        </w:tc>
        <w:tc>
          <w:tcPr>
            <w:tcW w:w="2540" w:type="dxa"/>
            <w:vMerge w:val="restart"/>
            <w:tcBorders>
              <w:top w:val="single" w:sz="4" w:space="0" w:color="000000"/>
            </w:tcBorders>
            <w:shd w:val="clear" w:color="auto" w:fill="E6E6E6"/>
          </w:tcPr>
          <w:p w:rsidR="00403D84" w:rsidRDefault="00403D84">
            <w:pPr>
              <w:jc w:val="center"/>
              <w:rPr>
                <w:rFonts w:ascii="Arial Narrow" w:eastAsia="Arial Narrow" w:hAnsi="Arial Narrow" w:cs="Arial Narrow"/>
                <w:b/>
              </w:rPr>
            </w:pPr>
          </w:p>
          <w:p w:rsidR="00403D84" w:rsidRDefault="004973D9">
            <w:pPr>
              <w:jc w:val="center"/>
              <w:rPr>
                <w:rFonts w:ascii="Arial Narrow" w:eastAsia="Arial Narrow" w:hAnsi="Arial Narrow" w:cs="Arial Narrow"/>
                <w:b/>
              </w:rPr>
            </w:pPr>
            <w:r>
              <w:rPr>
                <w:rFonts w:ascii="Arial Narrow" w:eastAsia="Arial Narrow" w:hAnsi="Arial Narrow" w:cs="Arial Narrow"/>
                <w:b/>
              </w:rPr>
              <w:t>Who Might be harmed and how?</w:t>
            </w:r>
          </w:p>
          <w:p w:rsidR="00403D84" w:rsidRDefault="004973D9">
            <w:pPr>
              <w:jc w:val="center"/>
              <w:rPr>
                <w:rFonts w:ascii="Arial Narrow" w:eastAsia="Arial Narrow" w:hAnsi="Arial Narrow" w:cs="Arial Narrow"/>
                <w:b/>
              </w:rPr>
            </w:pPr>
            <w:r>
              <w:rPr>
                <w:rFonts w:ascii="Arial Narrow" w:eastAsia="Arial Narrow" w:hAnsi="Arial Narrow" w:cs="Arial Narrow"/>
                <w:b/>
              </w:rPr>
              <w:t>(Who is at special risk?)</w:t>
            </w:r>
          </w:p>
        </w:tc>
        <w:tc>
          <w:tcPr>
            <w:tcW w:w="2709" w:type="dxa"/>
            <w:vMerge w:val="restart"/>
            <w:tcBorders>
              <w:top w:val="single" w:sz="4" w:space="0" w:color="000000"/>
            </w:tcBorders>
            <w:shd w:val="clear" w:color="auto" w:fill="E6E6E6"/>
            <w:vAlign w:val="center"/>
          </w:tcPr>
          <w:p w:rsidR="00403D84" w:rsidRDefault="004973D9">
            <w:pPr>
              <w:pStyle w:val="Heading1"/>
              <w:rPr>
                <w:rFonts w:ascii="Arial Narrow" w:eastAsia="Arial Narrow" w:hAnsi="Arial Narrow" w:cs="Arial Narrow"/>
                <w:sz w:val="20"/>
              </w:rPr>
            </w:pPr>
            <w:r>
              <w:rPr>
                <w:rFonts w:ascii="Arial Narrow" w:eastAsia="Arial Narrow" w:hAnsi="Arial Narrow" w:cs="Arial Narrow"/>
                <w:sz w:val="20"/>
              </w:rPr>
              <w:t>What are you already doing?</w:t>
            </w:r>
          </w:p>
          <w:p w:rsidR="00403D84" w:rsidRDefault="004973D9">
            <w:pPr>
              <w:rPr>
                <w:rFonts w:ascii="Arial Narrow" w:eastAsia="Arial Narrow" w:hAnsi="Arial Narrow" w:cs="Arial Narrow"/>
                <w:b/>
              </w:rPr>
            </w:pPr>
            <w:r>
              <w:rPr>
                <w:rFonts w:ascii="Arial Narrow" w:eastAsia="Arial Narrow" w:hAnsi="Arial Narrow" w:cs="Arial Narrow"/>
                <w:b/>
              </w:rPr>
              <w:t>(Current Control measures, including those for people at special risk)</w:t>
            </w:r>
          </w:p>
        </w:tc>
        <w:tc>
          <w:tcPr>
            <w:tcW w:w="2890" w:type="dxa"/>
            <w:vMerge w:val="restart"/>
            <w:tcBorders>
              <w:top w:val="single" w:sz="4" w:space="0" w:color="000000"/>
            </w:tcBorders>
            <w:shd w:val="clear" w:color="auto" w:fill="E6E6E6"/>
            <w:vAlign w:val="center"/>
          </w:tcPr>
          <w:p w:rsidR="00403D84" w:rsidRDefault="004973D9">
            <w:pPr>
              <w:jc w:val="center"/>
              <w:rPr>
                <w:rFonts w:ascii="Arial Narrow" w:eastAsia="Arial Narrow" w:hAnsi="Arial Narrow" w:cs="Arial Narrow"/>
                <w:b/>
              </w:rPr>
            </w:pPr>
            <w:r>
              <w:rPr>
                <w:rFonts w:ascii="Arial Narrow" w:eastAsia="Arial Narrow" w:hAnsi="Arial Narrow" w:cs="Arial Narrow"/>
                <w:b/>
              </w:rPr>
              <w:t>What further action is necessary?</w:t>
            </w:r>
          </w:p>
          <w:p w:rsidR="00403D84" w:rsidRDefault="004973D9">
            <w:pPr>
              <w:jc w:val="center"/>
              <w:rPr>
                <w:rFonts w:ascii="Arial Narrow" w:eastAsia="Arial Narrow" w:hAnsi="Arial Narrow" w:cs="Arial Narrow"/>
                <w:b/>
              </w:rPr>
            </w:pPr>
            <w:r>
              <w:rPr>
                <w:rFonts w:ascii="Arial Narrow" w:eastAsia="Arial Narrow" w:hAnsi="Arial Narrow" w:cs="Arial Narrow"/>
                <w:b/>
              </w:rPr>
              <w:t>(Further Control Measures)</w:t>
            </w:r>
          </w:p>
        </w:tc>
        <w:tc>
          <w:tcPr>
            <w:tcW w:w="993" w:type="dxa"/>
            <w:vMerge w:val="restart"/>
            <w:tcBorders>
              <w:top w:val="single" w:sz="4" w:space="0" w:color="000000"/>
            </w:tcBorders>
            <w:shd w:val="clear" w:color="auto" w:fill="E6E6E6"/>
            <w:vAlign w:val="center"/>
          </w:tcPr>
          <w:p w:rsidR="00403D84" w:rsidRDefault="004973D9">
            <w:pPr>
              <w:pStyle w:val="Heading1"/>
              <w:jc w:val="center"/>
              <w:rPr>
                <w:rFonts w:ascii="Arial Narrow" w:eastAsia="Arial Narrow" w:hAnsi="Arial Narrow" w:cs="Arial Narrow"/>
                <w:sz w:val="20"/>
              </w:rPr>
            </w:pPr>
            <w:r>
              <w:rPr>
                <w:rFonts w:ascii="Arial Narrow" w:eastAsia="Arial Narrow" w:hAnsi="Arial Narrow" w:cs="Arial Narrow"/>
                <w:sz w:val="20"/>
              </w:rPr>
              <w:t>Action by whom</w:t>
            </w:r>
          </w:p>
        </w:tc>
        <w:tc>
          <w:tcPr>
            <w:tcW w:w="992" w:type="dxa"/>
            <w:vMerge w:val="restart"/>
            <w:tcBorders>
              <w:top w:val="single" w:sz="4" w:space="0" w:color="000000"/>
            </w:tcBorders>
            <w:shd w:val="clear" w:color="auto" w:fill="E6E6E6"/>
          </w:tcPr>
          <w:p w:rsidR="00403D84" w:rsidRDefault="00403D84">
            <w:pPr>
              <w:pStyle w:val="Heading1"/>
              <w:rPr>
                <w:rFonts w:ascii="Arial Narrow" w:eastAsia="Arial Narrow" w:hAnsi="Arial Narrow" w:cs="Arial Narrow"/>
                <w:sz w:val="20"/>
              </w:rPr>
            </w:pPr>
          </w:p>
          <w:p w:rsidR="00403D84" w:rsidRDefault="00403D84">
            <w:pPr>
              <w:pStyle w:val="Heading1"/>
              <w:jc w:val="center"/>
              <w:rPr>
                <w:rFonts w:ascii="Arial Narrow" w:eastAsia="Arial Narrow" w:hAnsi="Arial Narrow" w:cs="Arial Narrow"/>
                <w:sz w:val="12"/>
                <w:szCs w:val="12"/>
              </w:rPr>
            </w:pPr>
          </w:p>
          <w:p w:rsidR="00403D84" w:rsidRDefault="004973D9">
            <w:pPr>
              <w:pStyle w:val="Heading1"/>
              <w:jc w:val="center"/>
              <w:rPr>
                <w:rFonts w:ascii="Arial Narrow" w:eastAsia="Arial Narrow" w:hAnsi="Arial Narrow" w:cs="Arial Narrow"/>
                <w:sz w:val="20"/>
              </w:rPr>
            </w:pPr>
            <w:r>
              <w:rPr>
                <w:rFonts w:ascii="Arial Narrow" w:eastAsia="Arial Narrow" w:hAnsi="Arial Narrow" w:cs="Arial Narrow"/>
                <w:sz w:val="20"/>
              </w:rPr>
              <w:t xml:space="preserve">Action by when </w:t>
            </w:r>
          </w:p>
        </w:tc>
        <w:tc>
          <w:tcPr>
            <w:tcW w:w="800" w:type="dxa"/>
            <w:vMerge w:val="restart"/>
            <w:tcBorders>
              <w:top w:val="single" w:sz="4" w:space="0" w:color="000000"/>
            </w:tcBorders>
            <w:shd w:val="clear" w:color="auto" w:fill="E6E6E6"/>
          </w:tcPr>
          <w:p w:rsidR="00403D84" w:rsidRDefault="00403D84">
            <w:pPr>
              <w:pStyle w:val="Heading1"/>
              <w:rPr>
                <w:rFonts w:ascii="Arial Narrow" w:eastAsia="Arial Narrow" w:hAnsi="Arial Narrow" w:cs="Arial Narrow"/>
                <w:sz w:val="20"/>
              </w:rPr>
            </w:pPr>
          </w:p>
          <w:p w:rsidR="00403D84" w:rsidRDefault="00403D84">
            <w:pPr>
              <w:pStyle w:val="Heading1"/>
              <w:rPr>
                <w:rFonts w:ascii="Arial Narrow" w:eastAsia="Arial Narrow" w:hAnsi="Arial Narrow" w:cs="Arial Narrow"/>
                <w:sz w:val="20"/>
              </w:rPr>
            </w:pPr>
          </w:p>
          <w:p w:rsidR="00403D84" w:rsidRDefault="004973D9">
            <w:pPr>
              <w:pStyle w:val="Heading1"/>
              <w:rPr>
                <w:rFonts w:ascii="Arial Narrow" w:eastAsia="Arial Narrow" w:hAnsi="Arial Narrow" w:cs="Arial Narrow"/>
                <w:sz w:val="20"/>
              </w:rPr>
            </w:pPr>
            <w:r>
              <w:rPr>
                <w:rFonts w:ascii="Arial Narrow" w:eastAsia="Arial Narrow" w:hAnsi="Arial Narrow" w:cs="Arial Narrow"/>
                <w:sz w:val="20"/>
              </w:rPr>
              <w:t>Done</w:t>
            </w:r>
          </w:p>
        </w:tc>
        <w:tc>
          <w:tcPr>
            <w:tcW w:w="2880" w:type="dxa"/>
            <w:gridSpan w:val="3"/>
            <w:tcBorders>
              <w:top w:val="single" w:sz="4" w:space="0" w:color="000000"/>
              <w:bottom w:val="dotted" w:sz="4" w:space="0" w:color="000000"/>
            </w:tcBorders>
            <w:shd w:val="clear" w:color="auto" w:fill="E6E6E6"/>
            <w:vAlign w:val="center"/>
          </w:tcPr>
          <w:p w:rsidR="00403D84" w:rsidRDefault="004973D9">
            <w:pPr>
              <w:pStyle w:val="Heading1"/>
              <w:rPr>
                <w:rFonts w:ascii="Arial Narrow" w:eastAsia="Arial Narrow" w:hAnsi="Arial Narrow" w:cs="Arial Narrow"/>
                <w:sz w:val="20"/>
              </w:rPr>
            </w:pPr>
            <w:r>
              <w:rPr>
                <w:rFonts w:ascii="Arial Narrow" w:eastAsia="Arial Narrow" w:hAnsi="Arial Narrow" w:cs="Arial Narrow"/>
                <w:sz w:val="20"/>
              </w:rPr>
              <w:t>Risk Factor taking all controls into consideration</w:t>
            </w:r>
          </w:p>
        </w:tc>
      </w:tr>
      <w:tr w:rsidR="00403D84">
        <w:tc>
          <w:tcPr>
            <w:tcW w:w="1784" w:type="dxa"/>
            <w:vMerge/>
            <w:tcBorders>
              <w:top w:val="single" w:sz="4" w:space="0" w:color="000000"/>
            </w:tcBorders>
            <w:shd w:val="clear" w:color="auto" w:fill="E6E6E6"/>
            <w:vAlign w:val="center"/>
          </w:tcPr>
          <w:p w:rsidR="00403D84" w:rsidRDefault="00403D84">
            <w:pPr>
              <w:widowControl w:val="0"/>
              <w:pBdr>
                <w:top w:val="nil"/>
                <w:left w:val="nil"/>
                <w:bottom w:val="nil"/>
                <w:right w:val="nil"/>
                <w:between w:val="nil"/>
              </w:pBdr>
              <w:spacing w:line="276" w:lineRule="auto"/>
              <w:rPr>
                <w:rFonts w:ascii="Arial Narrow" w:eastAsia="Arial Narrow" w:hAnsi="Arial Narrow" w:cs="Arial Narrow"/>
              </w:rPr>
            </w:pPr>
          </w:p>
        </w:tc>
        <w:tc>
          <w:tcPr>
            <w:tcW w:w="2540" w:type="dxa"/>
            <w:vMerge/>
            <w:tcBorders>
              <w:top w:val="single" w:sz="4" w:space="0" w:color="000000"/>
            </w:tcBorders>
            <w:shd w:val="clear" w:color="auto" w:fill="E6E6E6"/>
          </w:tcPr>
          <w:p w:rsidR="00403D84" w:rsidRDefault="00403D84">
            <w:pPr>
              <w:widowControl w:val="0"/>
              <w:pBdr>
                <w:top w:val="nil"/>
                <w:left w:val="nil"/>
                <w:bottom w:val="nil"/>
                <w:right w:val="nil"/>
                <w:between w:val="nil"/>
              </w:pBdr>
              <w:spacing w:line="276" w:lineRule="auto"/>
              <w:rPr>
                <w:rFonts w:ascii="Arial Narrow" w:eastAsia="Arial Narrow" w:hAnsi="Arial Narrow" w:cs="Arial Narrow"/>
              </w:rPr>
            </w:pPr>
          </w:p>
        </w:tc>
        <w:tc>
          <w:tcPr>
            <w:tcW w:w="2709" w:type="dxa"/>
            <w:vMerge/>
            <w:tcBorders>
              <w:top w:val="single" w:sz="4" w:space="0" w:color="000000"/>
            </w:tcBorders>
            <w:shd w:val="clear" w:color="auto" w:fill="E6E6E6"/>
            <w:vAlign w:val="center"/>
          </w:tcPr>
          <w:p w:rsidR="00403D84" w:rsidRDefault="00403D84">
            <w:pPr>
              <w:widowControl w:val="0"/>
              <w:pBdr>
                <w:top w:val="nil"/>
                <w:left w:val="nil"/>
                <w:bottom w:val="nil"/>
                <w:right w:val="nil"/>
                <w:between w:val="nil"/>
              </w:pBdr>
              <w:spacing w:line="276" w:lineRule="auto"/>
              <w:rPr>
                <w:rFonts w:ascii="Arial Narrow" w:eastAsia="Arial Narrow" w:hAnsi="Arial Narrow" w:cs="Arial Narrow"/>
              </w:rPr>
            </w:pPr>
          </w:p>
        </w:tc>
        <w:tc>
          <w:tcPr>
            <w:tcW w:w="2890" w:type="dxa"/>
            <w:vMerge/>
            <w:tcBorders>
              <w:top w:val="single" w:sz="4" w:space="0" w:color="000000"/>
            </w:tcBorders>
            <w:shd w:val="clear" w:color="auto" w:fill="E6E6E6"/>
            <w:vAlign w:val="center"/>
          </w:tcPr>
          <w:p w:rsidR="00403D84" w:rsidRDefault="00403D84">
            <w:pPr>
              <w:widowControl w:val="0"/>
              <w:pBdr>
                <w:top w:val="nil"/>
                <w:left w:val="nil"/>
                <w:bottom w:val="nil"/>
                <w:right w:val="nil"/>
                <w:between w:val="nil"/>
              </w:pBdr>
              <w:spacing w:line="276" w:lineRule="auto"/>
              <w:rPr>
                <w:rFonts w:ascii="Arial Narrow" w:eastAsia="Arial Narrow" w:hAnsi="Arial Narrow" w:cs="Arial Narrow"/>
              </w:rPr>
            </w:pPr>
          </w:p>
        </w:tc>
        <w:tc>
          <w:tcPr>
            <w:tcW w:w="993" w:type="dxa"/>
            <w:vMerge/>
            <w:tcBorders>
              <w:top w:val="single" w:sz="4" w:space="0" w:color="000000"/>
            </w:tcBorders>
            <w:shd w:val="clear" w:color="auto" w:fill="E6E6E6"/>
            <w:vAlign w:val="center"/>
          </w:tcPr>
          <w:p w:rsidR="00403D84" w:rsidRDefault="00403D84">
            <w:pPr>
              <w:widowControl w:val="0"/>
              <w:pBdr>
                <w:top w:val="nil"/>
                <w:left w:val="nil"/>
                <w:bottom w:val="nil"/>
                <w:right w:val="nil"/>
                <w:between w:val="nil"/>
              </w:pBdr>
              <w:spacing w:line="276" w:lineRule="auto"/>
              <w:rPr>
                <w:rFonts w:ascii="Arial Narrow" w:eastAsia="Arial Narrow" w:hAnsi="Arial Narrow" w:cs="Arial Narrow"/>
              </w:rPr>
            </w:pPr>
          </w:p>
        </w:tc>
        <w:tc>
          <w:tcPr>
            <w:tcW w:w="992" w:type="dxa"/>
            <w:vMerge/>
            <w:tcBorders>
              <w:top w:val="single" w:sz="4" w:space="0" w:color="000000"/>
            </w:tcBorders>
            <w:shd w:val="clear" w:color="auto" w:fill="E6E6E6"/>
          </w:tcPr>
          <w:p w:rsidR="00403D84" w:rsidRDefault="00403D84">
            <w:pPr>
              <w:widowControl w:val="0"/>
              <w:pBdr>
                <w:top w:val="nil"/>
                <w:left w:val="nil"/>
                <w:bottom w:val="nil"/>
                <w:right w:val="nil"/>
                <w:between w:val="nil"/>
              </w:pBdr>
              <w:spacing w:line="276" w:lineRule="auto"/>
              <w:rPr>
                <w:rFonts w:ascii="Arial Narrow" w:eastAsia="Arial Narrow" w:hAnsi="Arial Narrow" w:cs="Arial Narrow"/>
              </w:rPr>
            </w:pPr>
          </w:p>
        </w:tc>
        <w:tc>
          <w:tcPr>
            <w:tcW w:w="800" w:type="dxa"/>
            <w:vMerge/>
            <w:tcBorders>
              <w:top w:val="single" w:sz="4" w:space="0" w:color="000000"/>
            </w:tcBorders>
            <w:shd w:val="clear" w:color="auto" w:fill="E6E6E6"/>
          </w:tcPr>
          <w:p w:rsidR="00403D84" w:rsidRDefault="00403D84">
            <w:pPr>
              <w:widowControl w:val="0"/>
              <w:pBdr>
                <w:top w:val="nil"/>
                <w:left w:val="nil"/>
                <w:bottom w:val="nil"/>
                <w:right w:val="nil"/>
                <w:between w:val="nil"/>
              </w:pBdr>
              <w:spacing w:line="276" w:lineRule="auto"/>
              <w:rPr>
                <w:rFonts w:ascii="Arial Narrow" w:eastAsia="Arial Narrow" w:hAnsi="Arial Narrow" w:cs="Arial Narrow"/>
              </w:rPr>
            </w:pPr>
          </w:p>
        </w:tc>
        <w:tc>
          <w:tcPr>
            <w:tcW w:w="1080" w:type="dxa"/>
            <w:tcBorders>
              <w:bottom w:val="single" w:sz="4" w:space="0" w:color="000000"/>
            </w:tcBorders>
            <w:shd w:val="clear" w:color="auto" w:fill="E6E6E6"/>
          </w:tcPr>
          <w:p w:rsidR="00403D84" w:rsidRDefault="004973D9">
            <w:pPr>
              <w:jc w:val="center"/>
              <w:rPr>
                <w:rFonts w:ascii="Arial Narrow" w:eastAsia="Arial Narrow" w:hAnsi="Arial Narrow" w:cs="Arial Narrow"/>
                <w:b/>
                <w:sz w:val="18"/>
                <w:szCs w:val="18"/>
              </w:rPr>
            </w:pPr>
            <w:r>
              <w:rPr>
                <w:rFonts w:ascii="Arial Narrow" w:eastAsia="Arial Narrow" w:hAnsi="Arial Narrow" w:cs="Arial Narrow"/>
                <w:b/>
                <w:sz w:val="18"/>
                <w:szCs w:val="18"/>
              </w:rPr>
              <w:t>Likelihood</w:t>
            </w:r>
          </w:p>
        </w:tc>
        <w:tc>
          <w:tcPr>
            <w:tcW w:w="900" w:type="dxa"/>
            <w:tcBorders>
              <w:bottom w:val="single" w:sz="4" w:space="0" w:color="000000"/>
            </w:tcBorders>
            <w:shd w:val="clear" w:color="auto" w:fill="E6E6E6"/>
            <w:vAlign w:val="center"/>
          </w:tcPr>
          <w:p w:rsidR="00403D84" w:rsidRDefault="004973D9">
            <w:pPr>
              <w:jc w:val="center"/>
              <w:rPr>
                <w:rFonts w:ascii="Arial Narrow" w:eastAsia="Arial Narrow" w:hAnsi="Arial Narrow" w:cs="Arial Narrow"/>
                <w:b/>
                <w:sz w:val="18"/>
                <w:szCs w:val="18"/>
              </w:rPr>
            </w:pPr>
            <w:r>
              <w:rPr>
                <w:rFonts w:ascii="Arial Narrow" w:eastAsia="Arial Narrow" w:hAnsi="Arial Narrow" w:cs="Arial Narrow"/>
                <w:b/>
                <w:sz w:val="18"/>
                <w:szCs w:val="18"/>
              </w:rPr>
              <w:t>Severity</w:t>
            </w:r>
          </w:p>
        </w:tc>
        <w:tc>
          <w:tcPr>
            <w:tcW w:w="900" w:type="dxa"/>
            <w:tcBorders>
              <w:bottom w:val="single" w:sz="4" w:space="0" w:color="000000"/>
            </w:tcBorders>
            <w:shd w:val="clear" w:color="auto" w:fill="E6E6E6"/>
          </w:tcPr>
          <w:p w:rsidR="00403D84" w:rsidRDefault="004973D9">
            <w:pPr>
              <w:jc w:val="center"/>
              <w:rPr>
                <w:rFonts w:ascii="Arial Narrow" w:eastAsia="Arial Narrow" w:hAnsi="Arial Narrow" w:cs="Arial Narrow"/>
                <w:b/>
                <w:sz w:val="18"/>
                <w:szCs w:val="18"/>
              </w:rPr>
            </w:pPr>
            <w:r>
              <w:rPr>
                <w:rFonts w:ascii="Arial Narrow" w:eastAsia="Arial Narrow" w:hAnsi="Arial Narrow" w:cs="Arial Narrow"/>
                <w:b/>
                <w:sz w:val="18"/>
                <w:szCs w:val="18"/>
              </w:rPr>
              <w:t>Risk Level</w:t>
            </w:r>
          </w:p>
        </w:tc>
      </w:tr>
      <w:tr w:rsidR="00403D84">
        <w:trPr>
          <w:trHeight w:val="3408"/>
        </w:trPr>
        <w:tc>
          <w:tcPr>
            <w:tcW w:w="1784" w:type="dxa"/>
            <w:tcBorders>
              <w:top w:val="single" w:sz="4" w:space="0" w:color="000000"/>
              <w:left w:val="single" w:sz="4" w:space="0" w:color="000000"/>
              <w:bottom w:val="nil"/>
              <w:right w:val="single" w:sz="4" w:space="0" w:color="000000"/>
            </w:tcBorders>
          </w:tcPr>
          <w:p w:rsidR="00403D84" w:rsidRDefault="004973D9">
            <w:pPr>
              <w:spacing w:after="240"/>
              <w:rPr>
                <w:rFonts w:ascii="Arial Narrow" w:eastAsia="Arial Narrow" w:hAnsi="Arial Narrow" w:cs="Arial Narrow"/>
                <w:sz w:val="22"/>
                <w:szCs w:val="22"/>
              </w:rPr>
            </w:pPr>
            <w:r>
              <w:rPr>
                <w:rFonts w:ascii="Arial Narrow" w:eastAsia="Arial Narrow" w:hAnsi="Arial Narrow" w:cs="Arial Narrow"/>
                <w:sz w:val="22"/>
                <w:szCs w:val="22"/>
              </w:rPr>
              <w:t xml:space="preserve">Poor control of entry to swimming pool may lead to Cryptosporidium oocysts being present in swimming pool water </w:t>
            </w:r>
          </w:p>
        </w:tc>
        <w:tc>
          <w:tcPr>
            <w:tcW w:w="2540" w:type="dxa"/>
            <w:tcBorders>
              <w:top w:val="single" w:sz="4" w:space="0" w:color="000000"/>
              <w:left w:val="single" w:sz="4" w:space="0" w:color="000000"/>
              <w:bottom w:val="nil"/>
              <w:right w:val="single" w:sz="4" w:space="0" w:color="000000"/>
            </w:tcBorders>
          </w:tcPr>
          <w:p w:rsidR="00403D84" w:rsidRDefault="004973D9">
            <w:pPr>
              <w:spacing w:after="240"/>
              <w:rPr>
                <w:rFonts w:ascii="Arial Narrow" w:eastAsia="Arial Narrow" w:hAnsi="Arial Narrow" w:cs="Arial Narrow"/>
                <w:sz w:val="22"/>
                <w:szCs w:val="22"/>
              </w:rPr>
            </w:pPr>
            <w:r>
              <w:rPr>
                <w:rFonts w:ascii="Arial Narrow" w:eastAsia="Arial Narrow" w:hAnsi="Arial Narrow" w:cs="Arial Narrow"/>
                <w:sz w:val="22"/>
                <w:szCs w:val="22"/>
              </w:rPr>
              <w:t>Anyone who accidentally swallows pool water contaminated by a faecal matter may contract Cryptosporidiosis</w:t>
            </w:r>
          </w:p>
          <w:p w:rsidR="00403D84" w:rsidRDefault="00403D84">
            <w:pPr>
              <w:spacing w:after="240"/>
              <w:rPr>
                <w:rFonts w:ascii="Arial Narrow" w:eastAsia="Arial Narrow" w:hAnsi="Arial Narrow" w:cs="Arial Narrow"/>
                <w:sz w:val="22"/>
                <w:szCs w:val="22"/>
              </w:rPr>
            </w:pPr>
          </w:p>
          <w:p w:rsidR="00403D84" w:rsidRDefault="004973D9">
            <w:pPr>
              <w:spacing w:after="240"/>
              <w:rPr>
                <w:rFonts w:ascii="Arial Narrow" w:eastAsia="Arial Narrow" w:hAnsi="Arial Narrow" w:cs="Arial Narrow"/>
                <w:sz w:val="22"/>
                <w:szCs w:val="22"/>
              </w:rPr>
            </w:pPr>
            <w:r>
              <w:rPr>
                <w:rFonts w:ascii="Arial Narrow" w:eastAsia="Arial Narrow" w:hAnsi="Arial Narrow" w:cs="Arial Narrow"/>
                <w:sz w:val="22"/>
                <w:szCs w:val="22"/>
              </w:rPr>
              <w:t>Children under 5 years and people with weakened immune systems are likely to be most seriously affected.</w:t>
            </w:r>
          </w:p>
        </w:tc>
        <w:tc>
          <w:tcPr>
            <w:tcW w:w="2709"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 xml:space="preserve">Signage provided advising children/adults with diarrhoea must not swim – then, or for 48 hours after they are clear </w:t>
            </w:r>
          </w:p>
          <w:p w:rsidR="00403D84" w:rsidRDefault="00403D84">
            <w:pPr>
              <w:spacing w:before="280"/>
              <w:rPr>
                <w:rFonts w:ascii="Arial Narrow" w:eastAsia="Arial Narrow" w:hAnsi="Arial Narrow" w:cs="Arial Narrow"/>
                <w:sz w:val="22"/>
                <w:szCs w:val="22"/>
              </w:rPr>
            </w:pPr>
          </w:p>
          <w:p w:rsidR="00403D84" w:rsidRDefault="004973D9">
            <w:pPr>
              <w:spacing w:after="240"/>
              <w:rPr>
                <w:rFonts w:ascii="Arial Narrow" w:eastAsia="Arial Narrow" w:hAnsi="Arial Narrow" w:cs="Arial Narrow"/>
                <w:sz w:val="22"/>
                <w:szCs w:val="22"/>
              </w:rPr>
            </w:pPr>
            <w:r>
              <w:rPr>
                <w:rFonts w:ascii="Arial Narrow" w:eastAsia="Arial Narrow" w:hAnsi="Arial Narrow" w:cs="Arial Narrow"/>
                <w:sz w:val="22"/>
                <w:szCs w:val="22"/>
              </w:rPr>
              <w:t>Clear signage advising those who have been diagnosed with cryptosporidiosis or it is suspected may have contracted it must not swim for 14 days after diarrhoea has stopped.</w:t>
            </w:r>
          </w:p>
        </w:tc>
        <w:tc>
          <w:tcPr>
            <w:tcW w:w="2890" w:type="dxa"/>
            <w:tcBorders>
              <w:top w:val="single" w:sz="4" w:space="0" w:color="000000"/>
              <w:left w:val="single" w:sz="4" w:space="0" w:color="000000"/>
              <w:bottom w:val="nil"/>
              <w:right w:val="single" w:sz="4" w:space="0" w:color="000000"/>
            </w:tcBorders>
          </w:tcPr>
          <w:p w:rsidR="00403D84" w:rsidRDefault="00403D84">
            <w:pPr>
              <w:spacing w:after="240"/>
              <w:rPr>
                <w:rFonts w:ascii="Arial Narrow" w:eastAsia="Arial Narrow" w:hAnsi="Arial Narrow" w:cs="Arial Narrow"/>
                <w:sz w:val="22"/>
                <w:szCs w:val="22"/>
              </w:rPr>
            </w:pPr>
          </w:p>
        </w:tc>
        <w:tc>
          <w:tcPr>
            <w:tcW w:w="993" w:type="dxa"/>
            <w:tcBorders>
              <w:top w:val="single" w:sz="4" w:space="0" w:color="000000"/>
              <w:left w:val="single" w:sz="4" w:space="0" w:color="000000"/>
              <w:bottom w:val="nil"/>
              <w:right w:val="single" w:sz="4" w:space="0" w:color="000000"/>
            </w:tcBorders>
          </w:tcPr>
          <w:p w:rsidR="00403D84" w:rsidRDefault="00403D84">
            <w:pPr>
              <w:spacing w:after="240"/>
              <w:rPr>
                <w:rFonts w:ascii="Arial Narrow" w:eastAsia="Arial Narrow" w:hAnsi="Arial Narrow" w:cs="Arial Narrow"/>
                <w:sz w:val="22"/>
                <w:szCs w:val="22"/>
              </w:rPr>
            </w:pPr>
          </w:p>
        </w:tc>
        <w:tc>
          <w:tcPr>
            <w:tcW w:w="992" w:type="dxa"/>
            <w:tcBorders>
              <w:top w:val="single" w:sz="4" w:space="0" w:color="000000"/>
              <w:left w:val="single" w:sz="4" w:space="0" w:color="000000"/>
              <w:bottom w:val="nil"/>
              <w:right w:val="single" w:sz="4" w:space="0" w:color="000000"/>
            </w:tcBorders>
          </w:tcPr>
          <w:p w:rsidR="00403D84" w:rsidRDefault="00403D84">
            <w:pPr>
              <w:spacing w:after="240"/>
              <w:rPr>
                <w:rFonts w:ascii="Arial Narrow" w:eastAsia="Arial Narrow" w:hAnsi="Arial Narrow" w:cs="Arial Narrow"/>
                <w:sz w:val="22"/>
                <w:szCs w:val="22"/>
              </w:rPr>
            </w:pPr>
          </w:p>
        </w:tc>
        <w:tc>
          <w:tcPr>
            <w:tcW w:w="800" w:type="dxa"/>
            <w:tcBorders>
              <w:top w:val="single" w:sz="4" w:space="0" w:color="000000"/>
              <w:left w:val="single" w:sz="4" w:space="0" w:color="000000"/>
              <w:bottom w:val="nil"/>
              <w:right w:val="single" w:sz="4" w:space="0" w:color="000000"/>
            </w:tcBorders>
          </w:tcPr>
          <w:p w:rsidR="00403D84" w:rsidRDefault="00403D84">
            <w:pPr>
              <w:spacing w:after="240"/>
              <w:rPr>
                <w:rFonts w:ascii="Arial Narrow" w:eastAsia="Arial Narrow" w:hAnsi="Arial Narrow" w:cs="Arial Narrow"/>
                <w:sz w:val="22"/>
                <w:szCs w:val="22"/>
              </w:rPr>
            </w:pPr>
          </w:p>
        </w:tc>
        <w:tc>
          <w:tcPr>
            <w:tcW w:w="1080" w:type="dxa"/>
            <w:tcBorders>
              <w:top w:val="single" w:sz="4" w:space="0" w:color="000000"/>
              <w:left w:val="single" w:sz="4" w:space="0" w:color="000000"/>
              <w:bottom w:val="nil"/>
              <w:right w:val="single" w:sz="4" w:space="0" w:color="000000"/>
            </w:tcBorders>
          </w:tcPr>
          <w:p w:rsidR="00403D84" w:rsidRDefault="00403D84">
            <w:pPr>
              <w:spacing w:after="240"/>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spacing w:after="240"/>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spacing w:after="240"/>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 xml:space="preserve">Parents sent written information on cryptosporidium and the requirement that their children should not swim if they have diarrhoea </w:t>
            </w:r>
          </w:p>
          <w:p w:rsidR="00403D84" w:rsidRDefault="00403D84">
            <w:pPr>
              <w:rPr>
                <w:rFonts w:ascii="Arial Narrow" w:eastAsia="Arial Narrow" w:hAnsi="Arial Narrow" w:cs="Arial Narrow"/>
                <w:sz w:val="8"/>
                <w:szCs w:val="8"/>
              </w:rPr>
            </w:pP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single" w:sz="4" w:space="0" w:color="000000"/>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single" w:sz="4" w:space="0" w:color="000000"/>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Regular meetings with hirers to explain emergency procedures for faecal contamination and the importance of advising their bathers not to swim if they have had diarrhoea</w:t>
            </w:r>
          </w:p>
          <w:p w:rsidR="00403D84" w:rsidRDefault="00403D84">
            <w:pPr>
              <w:rPr>
                <w:rFonts w:ascii="Arial Narrow" w:eastAsia="Arial Narrow" w:hAnsi="Arial Narrow" w:cs="Arial Narrow"/>
                <w:sz w:val="22"/>
                <w:szCs w:val="22"/>
              </w:rPr>
            </w:pPr>
          </w:p>
        </w:tc>
        <w:tc>
          <w:tcPr>
            <w:tcW w:w="289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r>
    </w:tbl>
    <w:p w:rsidR="001B6573" w:rsidRDefault="001B6573">
      <w:r>
        <w:br w:type="page"/>
      </w:r>
    </w:p>
    <w:tbl>
      <w:tblPr>
        <w:tblStyle w:val="a1"/>
        <w:tblW w:w="15588" w:type="dxa"/>
        <w:tblInd w:w="-74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784"/>
        <w:gridCol w:w="2540"/>
        <w:gridCol w:w="2709"/>
        <w:gridCol w:w="2890"/>
        <w:gridCol w:w="993"/>
        <w:gridCol w:w="992"/>
        <w:gridCol w:w="800"/>
        <w:gridCol w:w="1080"/>
        <w:gridCol w:w="900"/>
        <w:gridCol w:w="900"/>
      </w:tblGrid>
      <w:tr w:rsidR="00403D84">
        <w:trPr>
          <w:trHeight w:val="168"/>
        </w:trPr>
        <w:tc>
          <w:tcPr>
            <w:tcW w:w="1784"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lastRenderedPageBreak/>
              <w:t>Poor pre-pool hygiene leading to oocysts being present in pool water</w:t>
            </w:r>
          </w:p>
        </w:tc>
        <w:tc>
          <w:tcPr>
            <w:tcW w:w="2540"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Anyone who accidentally swallows pool water contaminated by a faecal matter may contract Cryptosporidiosis</w:t>
            </w:r>
          </w:p>
          <w:p w:rsidR="00403D84" w:rsidRDefault="00403D84">
            <w:pPr>
              <w:rPr>
                <w:rFonts w:ascii="Arial Narrow" w:eastAsia="Arial Narrow" w:hAnsi="Arial Narrow" w:cs="Arial Narrow"/>
                <w:sz w:val="22"/>
                <w:szCs w:val="22"/>
              </w:rPr>
            </w:pPr>
          </w:p>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Children under 5 years and people with weakened immune systems are likely to be most seriously affected.</w:t>
            </w:r>
          </w:p>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Bathers are encouraged to wash and shower before swimming where showers are available (people recovering from Cryptosporidiosis  could still have oocysts around their anus)</w:t>
            </w:r>
          </w:p>
        </w:tc>
        <w:tc>
          <w:tcPr>
            <w:tcW w:w="289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Hiring agreements specify that bathers must shower before swimming</w:t>
            </w: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spacing w:after="280"/>
              <w:rPr>
                <w:rFonts w:ascii="Arial Narrow" w:eastAsia="Arial Narrow" w:hAnsi="Arial Narrow" w:cs="Arial Narrow"/>
                <w:sz w:val="22"/>
                <w:szCs w:val="22"/>
              </w:rPr>
            </w:pPr>
            <w:r>
              <w:rPr>
                <w:rFonts w:ascii="Arial Narrow" w:eastAsia="Arial Narrow" w:hAnsi="Arial Narrow" w:cs="Arial Narrow"/>
                <w:sz w:val="22"/>
                <w:szCs w:val="22"/>
              </w:rPr>
              <w:t>Where showers are unavailable, footbaths are provided for bathers to use before they enter the pool</w:t>
            </w:r>
          </w:p>
          <w:p w:rsidR="00403D84" w:rsidRDefault="004973D9">
            <w:pPr>
              <w:spacing w:before="280"/>
              <w:rPr>
                <w:rFonts w:ascii="Arial Narrow" w:eastAsia="Arial Narrow" w:hAnsi="Arial Narrow" w:cs="Arial Narrow"/>
                <w:sz w:val="22"/>
                <w:szCs w:val="22"/>
              </w:rPr>
            </w:pPr>
            <w:r>
              <w:rPr>
                <w:rFonts w:ascii="Arial Narrow" w:eastAsia="Arial Narrow" w:hAnsi="Arial Narrow" w:cs="Arial Narrow"/>
                <w:sz w:val="22"/>
                <w:szCs w:val="22"/>
              </w:rPr>
              <w:t>At a minimum, this could be two washing up bowls filled with disinfected pool water</w:t>
            </w: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single" w:sz="4" w:space="0" w:color="000000"/>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single" w:sz="4" w:space="0" w:color="000000"/>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Protective shoe covers provided for non-swimmers entering pool area</w:t>
            </w:r>
          </w:p>
        </w:tc>
        <w:tc>
          <w:tcPr>
            <w:tcW w:w="289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Poor pre-pool hygiene - continued</w:t>
            </w:r>
          </w:p>
        </w:tc>
        <w:tc>
          <w:tcPr>
            <w:tcW w:w="2540" w:type="dxa"/>
            <w:tcBorders>
              <w:top w:val="single" w:sz="4" w:space="0" w:color="000000"/>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Children and adult bathers are encouraged to use the toilets and wash their hands before they swim.</w:t>
            </w:r>
          </w:p>
          <w:p w:rsidR="00403D84" w:rsidRDefault="00403D84">
            <w:pPr>
              <w:rPr>
                <w:rFonts w:ascii="Arial Narrow" w:eastAsia="Arial Narrow" w:hAnsi="Arial Narrow" w:cs="Arial Narrow"/>
                <w:sz w:val="22"/>
                <w:szCs w:val="22"/>
              </w:rPr>
            </w:pPr>
          </w:p>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Where showers are available they should shower again before entering the water</w:t>
            </w:r>
          </w:p>
          <w:p w:rsidR="00403D84" w:rsidRDefault="00403D84">
            <w:pPr>
              <w:rPr>
                <w:rFonts w:ascii="Arial Narrow" w:eastAsia="Arial Narrow" w:hAnsi="Arial Narrow" w:cs="Arial Narrow"/>
                <w:sz w:val="22"/>
                <w:szCs w:val="22"/>
              </w:rPr>
            </w:pPr>
          </w:p>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lastRenderedPageBreak/>
              <w:t>Children offered frequent toilet breaks.</w:t>
            </w:r>
          </w:p>
        </w:tc>
        <w:tc>
          <w:tcPr>
            <w:tcW w:w="289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single" w:sz="4" w:space="0" w:color="000000"/>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single" w:sz="4" w:space="0" w:color="000000"/>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 xml:space="preserve">Where appropriate, hygienic baby changing facilities are provided </w:t>
            </w:r>
          </w:p>
          <w:p w:rsidR="00403D84" w:rsidRDefault="00403D84">
            <w:pPr>
              <w:rPr>
                <w:rFonts w:ascii="Arial Narrow" w:eastAsia="Arial Narrow" w:hAnsi="Arial Narrow" w:cs="Arial Narrow"/>
                <w:sz w:val="22"/>
                <w:szCs w:val="22"/>
              </w:rPr>
            </w:pPr>
          </w:p>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Suitable receptacles provided for safe and hygienic disposal of soiled nappies.</w:t>
            </w:r>
          </w:p>
          <w:p w:rsidR="00403D84" w:rsidRDefault="00403D84">
            <w:pPr>
              <w:rPr>
                <w:rFonts w:ascii="Arial Narrow" w:eastAsia="Arial Narrow" w:hAnsi="Arial Narrow" w:cs="Arial Narrow"/>
                <w:sz w:val="22"/>
                <w:szCs w:val="22"/>
              </w:rPr>
            </w:pPr>
          </w:p>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Good hand washing facilities available nearby</w:t>
            </w:r>
          </w:p>
          <w:p w:rsidR="00403D84" w:rsidRDefault="00403D84">
            <w:pPr>
              <w:spacing w:before="280"/>
              <w:rPr>
                <w:rFonts w:ascii="Arial Narrow" w:eastAsia="Arial Narrow" w:hAnsi="Arial Narrow" w:cs="Arial Narrow"/>
                <w:sz w:val="22"/>
                <w:szCs w:val="22"/>
              </w:rPr>
            </w:pPr>
          </w:p>
        </w:tc>
        <w:tc>
          <w:tcPr>
            <w:tcW w:w="289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Faecal accidents  -  High risk from very young children swimming in the pool</w:t>
            </w:r>
          </w:p>
        </w:tc>
        <w:tc>
          <w:tcPr>
            <w:tcW w:w="2540"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Anyone who accidentally swallows pool water contaminated by a faecal matter may contract Cryptosporidiosis</w:t>
            </w:r>
          </w:p>
          <w:p w:rsidR="00403D84" w:rsidRDefault="00403D84">
            <w:pPr>
              <w:rPr>
                <w:rFonts w:ascii="Arial Narrow" w:eastAsia="Arial Narrow" w:hAnsi="Arial Narrow" w:cs="Arial Narrow"/>
                <w:sz w:val="22"/>
                <w:szCs w:val="22"/>
              </w:rPr>
            </w:pPr>
          </w:p>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Children under 5 years and people with weakened immune systems are likely to be most seriously affected.</w:t>
            </w:r>
          </w:p>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single" w:sz="4" w:space="0" w:color="000000"/>
              <w:left w:val="single" w:sz="4" w:space="0" w:color="000000"/>
              <w:bottom w:val="nil"/>
              <w:right w:val="single" w:sz="4" w:space="0" w:color="000000"/>
            </w:tcBorders>
          </w:tcPr>
          <w:p w:rsidR="00403D84" w:rsidRDefault="004973D9">
            <w:pPr>
              <w:spacing w:after="280"/>
              <w:rPr>
                <w:rFonts w:ascii="Arial Narrow" w:eastAsia="Arial Narrow" w:hAnsi="Arial Narrow" w:cs="Arial Narrow"/>
                <w:sz w:val="22"/>
                <w:szCs w:val="22"/>
              </w:rPr>
            </w:pPr>
            <w:r>
              <w:rPr>
                <w:rFonts w:ascii="Arial Narrow" w:eastAsia="Arial Narrow" w:hAnsi="Arial Narrow" w:cs="Arial Narrow"/>
                <w:sz w:val="22"/>
                <w:szCs w:val="22"/>
              </w:rPr>
              <w:t>Documented approved PWTAG procedures (Tech</w:t>
            </w:r>
            <w:r>
              <w:rPr>
                <w:rFonts w:ascii="Arial Narrow" w:eastAsia="Arial Narrow" w:hAnsi="Arial Narrow" w:cs="Arial Narrow"/>
                <w:sz w:val="22"/>
                <w:szCs w:val="22"/>
              </w:rPr>
              <w:t>nical Note 2) for removing both solid and runny stools is readily available and practised</w:t>
            </w:r>
          </w:p>
          <w:p w:rsidR="00403D84" w:rsidRDefault="004973D9">
            <w:pPr>
              <w:spacing w:before="280"/>
              <w:rPr>
                <w:rFonts w:ascii="Arial Narrow" w:eastAsia="Arial Narrow" w:hAnsi="Arial Narrow" w:cs="Arial Narrow"/>
                <w:sz w:val="22"/>
                <w:szCs w:val="22"/>
              </w:rPr>
            </w:pPr>
            <w:r>
              <w:rPr>
                <w:rFonts w:ascii="Arial Narrow" w:eastAsia="Arial Narrow" w:hAnsi="Arial Narrow" w:cs="Arial Narrow"/>
                <w:sz w:val="22"/>
                <w:szCs w:val="22"/>
              </w:rPr>
              <w:t xml:space="preserve">Guidance for faecal contamination is available in Appendix 5 of PALM Academy training handbooks </w:t>
            </w:r>
          </w:p>
        </w:tc>
        <w:tc>
          <w:tcPr>
            <w:tcW w:w="289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Pool operators/lifeguards supervise the pool and are trained in the different procedures for solid and runny stools</w:t>
            </w:r>
          </w:p>
          <w:p w:rsidR="00403D84" w:rsidRDefault="00403D84">
            <w:pPr>
              <w:rPr>
                <w:rFonts w:ascii="Arial Narrow" w:eastAsia="Arial Narrow" w:hAnsi="Arial Narrow" w:cs="Arial Narrow"/>
                <w:sz w:val="22"/>
                <w:szCs w:val="22"/>
              </w:rPr>
            </w:pP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c>
          <w:tcPr>
            <w:tcW w:w="1784"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2709" w:type="dxa"/>
            <w:tcBorders>
              <w:top w:val="nil"/>
              <w:left w:val="single" w:sz="4" w:space="0" w:color="000000"/>
              <w:bottom w:val="single" w:sz="4" w:space="0" w:color="000000"/>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 xml:space="preserve">Babies wear special swimming nappies and parents instructed that they must not swim if they </w:t>
            </w:r>
            <w:r>
              <w:rPr>
                <w:rFonts w:ascii="Arial Narrow" w:eastAsia="Arial Narrow" w:hAnsi="Arial Narrow" w:cs="Arial Narrow"/>
                <w:sz w:val="22"/>
                <w:szCs w:val="22"/>
              </w:rPr>
              <w:lastRenderedPageBreak/>
              <w:t>or their baby have had diarrhoea in the previous 48 hours or 14 days in the case of Cryptosporidiosis</w:t>
            </w:r>
          </w:p>
          <w:p w:rsidR="00403D84" w:rsidRDefault="00403D84">
            <w:pPr>
              <w:rPr>
                <w:rFonts w:ascii="Arial Narrow" w:eastAsia="Arial Narrow" w:hAnsi="Arial Narrow" w:cs="Arial Narrow"/>
                <w:sz w:val="22"/>
                <w:szCs w:val="22"/>
              </w:rPr>
            </w:pPr>
          </w:p>
        </w:tc>
        <w:tc>
          <w:tcPr>
            <w:tcW w:w="289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r>
      <w:tr w:rsidR="00403D84">
        <w:tc>
          <w:tcPr>
            <w:tcW w:w="1784" w:type="dxa"/>
            <w:tcBorders>
              <w:top w:val="single" w:sz="4" w:space="0" w:color="000000"/>
              <w:left w:val="single" w:sz="4" w:space="0" w:color="000000"/>
              <w:bottom w:val="single" w:sz="4" w:space="0" w:color="000000"/>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 xml:space="preserve">Faecal accidents continued  </w:t>
            </w:r>
          </w:p>
        </w:tc>
        <w:tc>
          <w:tcPr>
            <w:tcW w:w="2540" w:type="dxa"/>
            <w:tcBorders>
              <w:top w:val="single" w:sz="4" w:space="0" w:color="000000"/>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2709" w:type="dxa"/>
            <w:tcBorders>
              <w:top w:val="single" w:sz="4" w:space="0" w:color="000000"/>
              <w:left w:val="single" w:sz="4" w:space="0" w:color="000000"/>
              <w:bottom w:val="single" w:sz="4" w:space="0" w:color="000000"/>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 xml:space="preserve">Faecal incidents and the action taken are recorded. </w:t>
            </w:r>
          </w:p>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The record includes dates of incidents, staff on duty, nature of incident, pH and disinfection at time of incident and before re-opening, secondary disinfection</w:t>
            </w:r>
          </w:p>
          <w:p w:rsidR="00403D84" w:rsidRDefault="00403D84">
            <w:pPr>
              <w:rPr>
                <w:rFonts w:ascii="Arial Narrow" w:eastAsia="Arial Narrow" w:hAnsi="Arial Narrow" w:cs="Arial Narrow"/>
                <w:sz w:val="22"/>
                <w:szCs w:val="22"/>
              </w:rPr>
            </w:pPr>
          </w:p>
        </w:tc>
        <w:tc>
          <w:tcPr>
            <w:tcW w:w="2890" w:type="dxa"/>
            <w:tcBorders>
              <w:top w:val="single" w:sz="4" w:space="0" w:color="000000"/>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single" w:sz="4" w:space="0" w:color="000000"/>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989"/>
        </w:trPr>
        <w:tc>
          <w:tcPr>
            <w:tcW w:w="1784"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Inadequate water treatment</w:t>
            </w:r>
          </w:p>
        </w:tc>
        <w:tc>
          <w:tcPr>
            <w:tcW w:w="2540"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Anyone who accidentally swallows pool water that has been inadequately treated may contract Cryptosporidiosis</w:t>
            </w:r>
          </w:p>
          <w:p w:rsidR="00403D84" w:rsidRDefault="00403D84">
            <w:pPr>
              <w:rPr>
                <w:rFonts w:ascii="Arial Narrow" w:eastAsia="Arial Narrow" w:hAnsi="Arial Narrow" w:cs="Arial Narrow"/>
                <w:sz w:val="22"/>
                <w:szCs w:val="22"/>
              </w:rPr>
            </w:pPr>
          </w:p>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Children under 5 years and people with weakened immune systems are likely to be most seriously affected.</w:t>
            </w:r>
          </w:p>
          <w:p w:rsidR="00403D84" w:rsidRDefault="00403D84">
            <w:pPr>
              <w:rPr>
                <w:rFonts w:ascii="Arial Narrow" w:eastAsia="Arial Narrow" w:hAnsi="Arial Narrow" w:cs="Arial Narrow"/>
              </w:rPr>
            </w:pPr>
          </w:p>
        </w:tc>
        <w:tc>
          <w:tcPr>
            <w:tcW w:w="2709"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Schematic diagram of pool water showing</w:t>
            </w:r>
            <w:r>
              <w:rPr>
                <w:rFonts w:ascii="Arial Narrow" w:eastAsia="Arial Narrow" w:hAnsi="Arial Narrow" w:cs="Arial Narrow"/>
                <w:sz w:val="22"/>
                <w:szCs w:val="22"/>
              </w:rPr>
              <w:t xml:space="preserve"> the steps in the water flow process from the pool, through the treatment plant and back to the pool. </w:t>
            </w:r>
          </w:p>
        </w:tc>
        <w:tc>
          <w:tcPr>
            <w:tcW w:w="289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 xml:space="preserve">Effective disinfectant regime in place </w:t>
            </w: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single" w:sz="4" w:space="0" w:color="000000"/>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single" w:sz="4" w:space="0" w:color="000000"/>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Temperature of  pool water (normal range is 27 - 30</w:t>
            </w:r>
            <w:r>
              <w:rPr>
                <w:rFonts w:ascii="Arial Narrow" w:eastAsia="Arial Narrow" w:hAnsi="Arial Narrow" w:cs="Arial Narrow"/>
                <w:sz w:val="22"/>
                <w:szCs w:val="22"/>
                <w:vertAlign w:val="superscript"/>
              </w:rPr>
              <w:t>°</w:t>
            </w:r>
            <w:r>
              <w:rPr>
                <w:rFonts w:ascii="Arial Narrow" w:eastAsia="Arial Narrow" w:hAnsi="Arial Narrow" w:cs="Arial Narrow"/>
                <w:sz w:val="22"/>
                <w:szCs w:val="22"/>
              </w:rPr>
              <w:t>C; hydrotherapy pools will be warmer) is monitored and recorded</w:t>
            </w:r>
          </w:p>
        </w:tc>
        <w:tc>
          <w:tcPr>
            <w:tcW w:w="2890" w:type="dxa"/>
            <w:tcBorders>
              <w:top w:val="nil"/>
              <w:left w:val="single" w:sz="4" w:space="0" w:color="000000"/>
              <w:bottom w:val="single" w:sz="4" w:space="0" w:color="000000"/>
              <w:right w:val="single" w:sz="4" w:space="0" w:color="000000"/>
            </w:tcBorders>
          </w:tcPr>
          <w:p w:rsidR="00403D84" w:rsidRDefault="00403D84">
            <w:pPr>
              <w:rPr>
                <w:b/>
                <w:sz w:val="19"/>
                <w:szCs w:val="19"/>
              </w:rPr>
            </w:pPr>
          </w:p>
        </w:tc>
        <w:tc>
          <w:tcPr>
            <w:tcW w:w="993"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lastRenderedPageBreak/>
              <w:t>Inadequate water treatment continued</w:t>
            </w:r>
          </w:p>
        </w:tc>
        <w:tc>
          <w:tcPr>
            <w:tcW w:w="2540" w:type="dxa"/>
            <w:tcBorders>
              <w:top w:val="single" w:sz="4" w:space="0" w:color="000000"/>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Free and combined chlorine levels are monitored using a representative sample from the pool and records kept</w:t>
            </w:r>
          </w:p>
          <w:p w:rsidR="00403D84" w:rsidRDefault="00403D84">
            <w:pPr>
              <w:rPr>
                <w:rFonts w:ascii="Arial Narrow" w:eastAsia="Arial Narrow" w:hAnsi="Arial Narrow" w:cs="Arial Narrow"/>
                <w:sz w:val="22"/>
                <w:szCs w:val="22"/>
              </w:rPr>
            </w:pPr>
          </w:p>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Monitoring is undertaken at least 3 times per day for automatic control systems</w:t>
            </w:r>
            <w:r>
              <w:rPr>
                <w:rFonts w:ascii="Arial Narrow" w:eastAsia="Arial Narrow" w:hAnsi="Arial Narrow" w:cs="Arial Narrow"/>
                <w:color w:val="FF0000"/>
                <w:sz w:val="19"/>
                <w:szCs w:val="19"/>
              </w:rPr>
              <w:t xml:space="preserve"> </w:t>
            </w:r>
            <w:r>
              <w:rPr>
                <w:rFonts w:ascii="Arial Narrow" w:eastAsia="Arial Narrow" w:hAnsi="Arial Narrow" w:cs="Arial Narrow"/>
                <w:sz w:val="22"/>
                <w:szCs w:val="22"/>
              </w:rPr>
              <w:t>Outdoor pools test 3 times a day (once every 3 hours)</w:t>
            </w:r>
          </w:p>
          <w:p w:rsidR="00403D84" w:rsidRDefault="00403D84">
            <w:pPr>
              <w:rPr>
                <w:rFonts w:ascii="Arial Narrow" w:eastAsia="Arial Narrow" w:hAnsi="Arial Narrow" w:cs="Arial Narrow"/>
                <w:sz w:val="22"/>
                <w:szCs w:val="22"/>
              </w:rPr>
            </w:pPr>
          </w:p>
        </w:tc>
        <w:tc>
          <w:tcPr>
            <w:tcW w:w="2890" w:type="dxa"/>
            <w:tcBorders>
              <w:top w:val="single" w:sz="4" w:space="0" w:color="000000"/>
              <w:left w:val="single" w:sz="4" w:space="0" w:color="000000"/>
              <w:bottom w:val="nil"/>
              <w:right w:val="single" w:sz="4" w:space="0" w:color="000000"/>
            </w:tcBorders>
          </w:tcPr>
          <w:p w:rsidR="00403D84" w:rsidRDefault="00403D84">
            <w:pPr>
              <w:rPr>
                <w:b/>
                <w:sz w:val="19"/>
                <w:szCs w:val="19"/>
              </w:rPr>
            </w:pPr>
          </w:p>
          <w:p w:rsidR="00403D84" w:rsidRDefault="00403D84">
            <w:pPr>
              <w:rPr>
                <w:b/>
                <w:sz w:val="19"/>
                <w:szCs w:val="19"/>
              </w:rPr>
            </w:pPr>
          </w:p>
          <w:p w:rsidR="00403D84" w:rsidRDefault="00403D84">
            <w:pPr>
              <w:rPr>
                <w:b/>
                <w:sz w:val="19"/>
                <w:szCs w:val="19"/>
              </w:rPr>
            </w:pPr>
          </w:p>
          <w:p w:rsidR="00403D84" w:rsidRDefault="00403D84">
            <w:pPr>
              <w:rPr>
                <w:b/>
                <w:sz w:val="19"/>
                <w:szCs w:val="19"/>
              </w:rPr>
            </w:pPr>
          </w:p>
          <w:p w:rsidR="00403D84" w:rsidRDefault="00403D84">
            <w:pPr>
              <w:rPr>
                <w:b/>
                <w:sz w:val="19"/>
                <w:szCs w:val="19"/>
              </w:rPr>
            </w:pPr>
          </w:p>
          <w:p w:rsidR="00403D84" w:rsidRDefault="00403D84">
            <w:pPr>
              <w:rPr>
                <w:b/>
                <w:sz w:val="19"/>
                <w:szCs w:val="19"/>
              </w:rPr>
            </w:pPr>
          </w:p>
          <w:p w:rsidR="00403D84" w:rsidRDefault="00403D84">
            <w:pPr>
              <w:rPr>
                <w:b/>
                <w:sz w:val="19"/>
                <w:szCs w:val="19"/>
              </w:rPr>
            </w:pPr>
          </w:p>
          <w:p w:rsidR="00403D84" w:rsidRDefault="00403D84">
            <w:pPr>
              <w:rPr>
                <w:b/>
                <w:sz w:val="19"/>
                <w:szCs w:val="19"/>
              </w:rPr>
            </w:pPr>
          </w:p>
          <w:p w:rsidR="00403D84" w:rsidRDefault="00403D84">
            <w:pPr>
              <w:rPr>
                <w:rFonts w:ascii="Arial Narrow" w:eastAsia="Arial Narrow" w:hAnsi="Arial Narrow" w:cs="Arial Narrow"/>
                <w:sz w:val="19"/>
                <w:szCs w:val="19"/>
              </w:rPr>
            </w:pPr>
          </w:p>
        </w:tc>
        <w:tc>
          <w:tcPr>
            <w:tcW w:w="993"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 xml:space="preserve">Manual pH testing is undertaken of a representative sample from the pool (recommended pH7.2 -7.6) </w:t>
            </w:r>
          </w:p>
          <w:p w:rsidR="00403D84" w:rsidRDefault="00403D84">
            <w:pPr>
              <w:rPr>
                <w:rFonts w:ascii="Arial Narrow" w:eastAsia="Arial Narrow" w:hAnsi="Arial Narrow" w:cs="Arial Narrow"/>
                <w:sz w:val="22"/>
                <w:szCs w:val="22"/>
              </w:rPr>
            </w:pPr>
          </w:p>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Testing is undertaken at least 3 times per day for automatic control or every 2 hours for manual systems.</w:t>
            </w:r>
          </w:p>
          <w:p w:rsidR="00403D84" w:rsidRDefault="00403D84">
            <w:pPr>
              <w:rPr>
                <w:rFonts w:ascii="Arial Narrow" w:eastAsia="Arial Narrow" w:hAnsi="Arial Narrow" w:cs="Arial Narrow"/>
                <w:sz w:val="22"/>
                <w:szCs w:val="22"/>
              </w:rPr>
            </w:pP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single" w:sz="4" w:space="0" w:color="000000"/>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single" w:sz="4" w:space="0" w:color="000000"/>
              <w:right w:val="single" w:sz="4" w:space="0" w:color="000000"/>
            </w:tcBorders>
          </w:tcPr>
          <w:p w:rsidR="00403D84" w:rsidRDefault="004973D9">
            <w:pPr>
              <w:spacing w:after="280"/>
              <w:rPr>
                <w:rFonts w:ascii="Arial Narrow" w:eastAsia="Arial Narrow" w:hAnsi="Arial Narrow" w:cs="Arial Narrow"/>
                <w:sz w:val="22"/>
                <w:szCs w:val="22"/>
              </w:rPr>
            </w:pPr>
            <w:r>
              <w:rPr>
                <w:rFonts w:ascii="Arial Narrow" w:eastAsia="Arial Narrow" w:hAnsi="Arial Narrow" w:cs="Arial Narrow"/>
                <w:sz w:val="22"/>
                <w:szCs w:val="22"/>
              </w:rPr>
              <w:t>Continuous low-level dosing of a coagulant  is used in indoor pools to improve the filtration efficiency and increase the removal of any contaminants including unseen faecal release from the pool</w:t>
            </w:r>
          </w:p>
          <w:p w:rsidR="00403D84" w:rsidRDefault="00403D84">
            <w:pPr>
              <w:rPr>
                <w:rFonts w:ascii="Arial Narrow" w:eastAsia="Arial Narrow" w:hAnsi="Arial Narrow" w:cs="Arial Narrow"/>
                <w:sz w:val="22"/>
                <w:szCs w:val="22"/>
              </w:rPr>
            </w:pPr>
          </w:p>
        </w:tc>
        <w:tc>
          <w:tcPr>
            <w:tcW w:w="289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Inadequate water treatment continued</w:t>
            </w:r>
          </w:p>
        </w:tc>
        <w:tc>
          <w:tcPr>
            <w:tcW w:w="2540" w:type="dxa"/>
            <w:tcBorders>
              <w:top w:val="single" w:sz="4" w:space="0" w:color="000000"/>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Outdoor pools are recommended to retain a tablet form coagulant to be used each month, and after any gross contamination.</w:t>
            </w:r>
          </w:p>
        </w:tc>
        <w:tc>
          <w:tcPr>
            <w:tcW w:w="289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color w:val="FF0000"/>
                <w:sz w:val="19"/>
                <w:szCs w:val="19"/>
              </w:rPr>
            </w:pPr>
          </w:p>
        </w:tc>
        <w:tc>
          <w:tcPr>
            <w:tcW w:w="993"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Bather load monitored and recorded</w:t>
            </w:r>
          </w:p>
        </w:tc>
        <w:tc>
          <w:tcPr>
            <w:tcW w:w="2890" w:type="dxa"/>
            <w:tcBorders>
              <w:top w:val="nil"/>
              <w:left w:val="single" w:sz="4" w:space="0" w:color="000000"/>
              <w:bottom w:val="nil"/>
              <w:right w:val="single" w:sz="4" w:space="0" w:color="000000"/>
            </w:tcBorders>
          </w:tcPr>
          <w:p w:rsidR="00403D84" w:rsidRDefault="00403D84">
            <w:pPr>
              <w:rPr>
                <w:i/>
                <w:sz w:val="19"/>
                <w:szCs w:val="19"/>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Coarse filters checked and cleaned regularly</w:t>
            </w: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Pool water is regularly visually inspected for clarity and turbidity and the results recorded</w:t>
            </w: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single" w:sz="4" w:space="0" w:color="000000"/>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single" w:sz="4" w:space="0" w:color="000000"/>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Regular monthly microbiological sampling is undertaken using an accredited testing laboratory.  (Microbiological sampling is only undertaken for Cryptosporidium when there is a suspicion that it may be present)</w:t>
            </w:r>
          </w:p>
          <w:p w:rsidR="00403D84" w:rsidRDefault="00403D84">
            <w:pPr>
              <w:rPr>
                <w:rFonts w:ascii="Arial Narrow" w:eastAsia="Arial Narrow" w:hAnsi="Arial Narrow" w:cs="Arial Narrow"/>
                <w:sz w:val="22"/>
                <w:szCs w:val="22"/>
              </w:rPr>
            </w:pPr>
          </w:p>
        </w:tc>
        <w:tc>
          <w:tcPr>
            <w:tcW w:w="289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Inadequate water treatment continued</w:t>
            </w:r>
          </w:p>
        </w:tc>
        <w:tc>
          <w:tcPr>
            <w:tcW w:w="2540" w:type="dxa"/>
            <w:tcBorders>
              <w:top w:val="single" w:sz="4" w:space="0" w:color="000000"/>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Microbiological sampling is undertaken before the pool opens up for first time for outdoor pools and before any pool is put back to use after difficulties with treatment system.</w:t>
            </w:r>
          </w:p>
          <w:p w:rsidR="00403D84" w:rsidRDefault="00403D84">
            <w:pPr>
              <w:rPr>
                <w:rFonts w:ascii="Arial Narrow" w:eastAsia="Arial Narrow" w:hAnsi="Arial Narrow" w:cs="Arial Narrow"/>
                <w:sz w:val="22"/>
                <w:szCs w:val="22"/>
              </w:rPr>
            </w:pPr>
          </w:p>
        </w:tc>
        <w:tc>
          <w:tcPr>
            <w:tcW w:w="289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Contractors check sand filters annually to ensure bed is even, no fissures or cracking down the sides, no mud balling, no calcification or flocculent impacted into the bed</w:t>
            </w: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 xml:space="preserve">Sand is replaced in outdoor pools every other year </w:t>
            </w: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Sand is replaced in indoor pools every 7/8 years</w:t>
            </w: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single" w:sz="4" w:space="0" w:color="000000"/>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single" w:sz="4" w:space="0" w:color="000000"/>
              <w:right w:val="single" w:sz="4" w:space="0" w:color="000000"/>
            </w:tcBorders>
          </w:tcPr>
          <w:p w:rsidR="00403D84" w:rsidRDefault="004973D9">
            <w:pPr>
              <w:spacing w:after="280"/>
              <w:rPr>
                <w:rFonts w:ascii="Arial Narrow" w:eastAsia="Arial Narrow" w:hAnsi="Arial Narrow" w:cs="Arial Narrow"/>
                <w:sz w:val="22"/>
                <w:szCs w:val="22"/>
              </w:rPr>
            </w:pPr>
            <w:r>
              <w:rPr>
                <w:rFonts w:ascii="Arial Narrow" w:eastAsia="Arial Narrow" w:hAnsi="Arial Narrow" w:cs="Arial Narrow"/>
                <w:sz w:val="22"/>
                <w:szCs w:val="22"/>
              </w:rPr>
              <w:t>Flow of water calculated to ensure that there is an appropriate turnover of water and good mixing of water in the pool</w:t>
            </w:r>
          </w:p>
          <w:p w:rsidR="00403D84" w:rsidRDefault="004973D9">
            <w:pPr>
              <w:spacing w:before="280"/>
              <w:rPr>
                <w:rFonts w:ascii="Arial Narrow" w:eastAsia="Arial Narrow" w:hAnsi="Arial Narrow" w:cs="Arial Narrow"/>
                <w:sz w:val="22"/>
                <w:szCs w:val="22"/>
              </w:rPr>
            </w:pPr>
            <w:r>
              <w:rPr>
                <w:rFonts w:ascii="Arial Narrow" w:eastAsia="Arial Narrow" w:hAnsi="Arial Narrow" w:cs="Arial Narrow"/>
                <w:sz w:val="22"/>
                <w:szCs w:val="22"/>
              </w:rPr>
              <w:t xml:space="preserve">Short circuits and (water) </w:t>
            </w:r>
            <w:proofErr w:type="spellStart"/>
            <w:r>
              <w:rPr>
                <w:rFonts w:ascii="Arial Narrow" w:eastAsia="Arial Narrow" w:hAnsi="Arial Narrow" w:cs="Arial Narrow"/>
                <w:sz w:val="22"/>
                <w:szCs w:val="22"/>
              </w:rPr>
              <w:t>deadlegs</w:t>
            </w:r>
            <w:proofErr w:type="spellEnd"/>
            <w:r>
              <w:rPr>
                <w:rFonts w:ascii="Arial Narrow" w:eastAsia="Arial Narrow" w:hAnsi="Arial Narrow" w:cs="Arial Narrow"/>
                <w:sz w:val="22"/>
                <w:szCs w:val="22"/>
              </w:rPr>
              <w:t xml:space="preserve"> are avoided.</w:t>
            </w:r>
          </w:p>
        </w:tc>
        <w:tc>
          <w:tcPr>
            <w:tcW w:w="289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Inadequate water treatment continued</w:t>
            </w:r>
          </w:p>
        </w:tc>
        <w:tc>
          <w:tcPr>
            <w:tcW w:w="2540" w:type="dxa"/>
            <w:tcBorders>
              <w:top w:val="single" w:sz="4" w:space="0" w:color="000000"/>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890"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Flow meters retro fitted to ensure accurate flow rates</w:t>
            </w:r>
          </w:p>
        </w:tc>
        <w:tc>
          <w:tcPr>
            <w:tcW w:w="993"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Working pressure gauges installed on water treatment system</w:t>
            </w:r>
          </w:p>
          <w:p w:rsidR="00403D84" w:rsidRDefault="00403D84">
            <w:pPr>
              <w:rPr>
                <w:rFonts w:ascii="Arial Narrow" w:eastAsia="Arial Narrow" w:hAnsi="Arial Narrow" w:cs="Arial Narrow"/>
                <w:sz w:val="22"/>
                <w:szCs w:val="22"/>
              </w:rPr>
            </w:pP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Backwashing of filters is undertaken at least once a week or more frequently as determined by the pressure differential</w:t>
            </w:r>
          </w:p>
          <w:p w:rsidR="00403D84" w:rsidRDefault="00403D84">
            <w:pPr>
              <w:rPr>
                <w:rFonts w:ascii="Arial Narrow" w:eastAsia="Arial Narrow" w:hAnsi="Arial Narrow" w:cs="Arial Narrow"/>
                <w:sz w:val="22"/>
                <w:szCs w:val="22"/>
              </w:rPr>
            </w:pP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spacing w:after="280"/>
              <w:rPr>
                <w:rFonts w:ascii="Arial Narrow" w:eastAsia="Arial Narrow" w:hAnsi="Arial Narrow" w:cs="Arial Narrow"/>
                <w:sz w:val="22"/>
                <w:szCs w:val="22"/>
              </w:rPr>
            </w:pPr>
            <w:r>
              <w:rPr>
                <w:rFonts w:ascii="Arial Narrow" w:eastAsia="Arial Narrow" w:hAnsi="Arial Narrow" w:cs="Arial Narrow"/>
                <w:sz w:val="22"/>
                <w:szCs w:val="22"/>
              </w:rPr>
              <w:t xml:space="preserve">Backwash water runs clear and can be viewed in a sight glass </w:t>
            </w:r>
          </w:p>
          <w:p w:rsidR="00403D84" w:rsidRDefault="00403D84">
            <w:pPr>
              <w:rPr>
                <w:rFonts w:ascii="Arial Narrow" w:eastAsia="Arial Narrow" w:hAnsi="Arial Narrow" w:cs="Arial Narrow"/>
                <w:sz w:val="22"/>
                <w:szCs w:val="22"/>
              </w:rPr>
            </w:pP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Appropriate rate of water for backwashing provided to achieve fluidisation of the sand bed to enable the removal of dirt caught in the filter.</w:t>
            </w:r>
          </w:p>
        </w:tc>
        <w:tc>
          <w:tcPr>
            <w:tcW w:w="289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single" w:sz="4" w:space="0" w:color="000000"/>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single" w:sz="4" w:space="0" w:color="000000"/>
              <w:right w:val="single" w:sz="4" w:space="0" w:color="000000"/>
            </w:tcBorders>
          </w:tcPr>
          <w:p w:rsidR="00403D84" w:rsidRDefault="004973D9">
            <w:pPr>
              <w:spacing w:after="280"/>
              <w:rPr>
                <w:rFonts w:ascii="Arial Narrow" w:eastAsia="Arial Narrow" w:hAnsi="Arial Narrow" w:cs="Arial Narrow"/>
                <w:sz w:val="22"/>
                <w:szCs w:val="22"/>
              </w:rPr>
            </w:pPr>
            <w:r>
              <w:rPr>
                <w:rFonts w:ascii="Arial Narrow" w:eastAsia="Arial Narrow" w:hAnsi="Arial Narrow" w:cs="Arial Narrow"/>
                <w:sz w:val="22"/>
                <w:szCs w:val="22"/>
              </w:rPr>
              <w:t>Backwash water is pumped to drain or holding tank</w:t>
            </w:r>
          </w:p>
          <w:p w:rsidR="00403D84" w:rsidRDefault="00403D84">
            <w:pPr>
              <w:rPr>
                <w:rFonts w:ascii="Arial Narrow" w:eastAsia="Arial Narrow" w:hAnsi="Arial Narrow" w:cs="Arial Narrow"/>
                <w:sz w:val="22"/>
                <w:szCs w:val="22"/>
              </w:rPr>
            </w:pPr>
          </w:p>
        </w:tc>
        <w:tc>
          <w:tcPr>
            <w:tcW w:w="289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Inadequate water treatment continued</w:t>
            </w:r>
          </w:p>
        </w:tc>
        <w:tc>
          <w:tcPr>
            <w:tcW w:w="2540" w:type="dxa"/>
            <w:tcBorders>
              <w:top w:val="single" w:sz="4" w:space="0" w:color="000000"/>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Backwashing is only undertaken when pool is clear of bathers and there is sufficient time for the filters to resettle and water to recirculate  before reopening the pool to prevent the oocysts travelling through the expanded filter bed</w:t>
            </w:r>
          </w:p>
          <w:p w:rsidR="00403D84" w:rsidRDefault="00403D84">
            <w:pPr>
              <w:rPr>
                <w:rFonts w:ascii="Arial Narrow" w:eastAsia="Arial Narrow" w:hAnsi="Arial Narrow" w:cs="Arial Narrow"/>
                <w:sz w:val="22"/>
                <w:szCs w:val="22"/>
              </w:rPr>
            </w:pPr>
          </w:p>
        </w:tc>
        <w:tc>
          <w:tcPr>
            <w:tcW w:w="289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UV lights provide secondary disinfectant where installed</w:t>
            </w:r>
          </w:p>
        </w:tc>
        <w:tc>
          <w:tcPr>
            <w:tcW w:w="2890" w:type="dxa"/>
            <w:tcBorders>
              <w:top w:val="nil"/>
              <w:left w:val="single" w:sz="4" w:space="0" w:color="000000"/>
              <w:bottom w:val="nil"/>
              <w:right w:val="single" w:sz="4" w:space="0" w:color="000000"/>
            </w:tcBorders>
          </w:tcPr>
          <w:p w:rsidR="00403D84" w:rsidRDefault="00403D84">
            <w:pPr>
              <w:rPr>
                <w:b/>
                <w:sz w:val="19"/>
                <w:szCs w:val="19"/>
              </w:rPr>
            </w:pPr>
          </w:p>
        </w:tc>
        <w:tc>
          <w:tcPr>
            <w:tcW w:w="993"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single" w:sz="4" w:space="0" w:color="000000"/>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single" w:sz="4" w:space="0" w:color="000000"/>
              <w:right w:val="single" w:sz="4" w:space="0" w:color="000000"/>
            </w:tcBorders>
          </w:tcPr>
          <w:p w:rsidR="00403D84" w:rsidRDefault="004973D9">
            <w:pPr>
              <w:spacing w:after="280"/>
              <w:rPr>
                <w:rFonts w:ascii="Arial Narrow" w:eastAsia="Arial Narrow" w:hAnsi="Arial Narrow" w:cs="Arial Narrow"/>
                <w:sz w:val="22"/>
                <w:szCs w:val="22"/>
              </w:rPr>
            </w:pPr>
            <w:r>
              <w:rPr>
                <w:rFonts w:ascii="Arial Narrow" w:eastAsia="Arial Narrow" w:hAnsi="Arial Narrow" w:cs="Arial Narrow"/>
                <w:sz w:val="22"/>
                <w:szCs w:val="22"/>
              </w:rPr>
              <w:t xml:space="preserve">UV lights monitored and check recorded that they are working </w:t>
            </w:r>
          </w:p>
          <w:p w:rsidR="00403D84" w:rsidRDefault="004973D9">
            <w:pPr>
              <w:spacing w:before="280"/>
              <w:rPr>
                <w:rFonts w:ascii="Arial Narrow" w:eastAsia="Arial Narrow" w:hAnsi="Arial Narrow" w:cs="Arial Narrow"/>
                <w:sz w:val="22"/>
                <w:szCs w:val="22"/>
              </w:rPr>
            </w:pPr>
            <w:r>
              <w:rPr>
                <w:rFonts w:ascii="Arial Narrow" w:eastAsia="Arial Narrow" w:hAnsi="Arial Narrow" w:cs="Arial Narrow"/>
                <w:sz w:val="22"/>
                <w:szCs w:val="22"/>
              </w:rPr>
              <w:t>UV lights changed regularly (usually annually)</w:t>
            </w:r>
          </w:p>
        </w:tc>
        <w:tc>
          <w:tcPr>
            <w:tcW w:w="2890" w:type="dxa"/>
            <w:tcBorders>
              <w:top w:val="nil"/>
              <w:left w:val="single" w:sz="4" w:space="0" w:color="000000"/>
              <w:bottom w:val="single" w:sz="4" w:space="0" w:color="000000"/>
              <w:right w:val="single" w:sz="4" w:space="0" w:color="000000"/>
            </w:tcBorders>
          </w:tcPr>
          <w:p w:rsidR="00403D84" w:rsidRDefault="00403D84">
            <w:pPr>
              <w:rPr>
                <w:b/>
                <w:sz w:val="19"/>
                <w:szCs w:val="19"/>
              </w:rPr>
            </w:pPr>
          </w:p>
        </w:tc>
        <w:tc>
          <w:tcPr>
            <w:tcW w:w="993"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single" w:sz="4" w:space="0" w:color="000000"/>
              <w:left w:val="single" w:sz="4" w:space="0" w:color="000000"/>
              <w:bottom w:val="single" w:sz="4" w:space="0" w:color="000000"/>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Incompetent/ untrained pool operators/carers</w:t>
            </w:r>
          </w:p>
        </w:tc>
        <w:tc>
          <w:tcPr>
            <w:tcW w:w="2540" w:type="dxa"/>
            <w:tcBorders>
              <w:top w:val="single" w:sz="4" w:space="0" w:color="000000"/>
              <w:left w:val="single" w:sz="4" w:space="0" w:color="000000"/>
              <w:bottom w:val="single" w:sz="4" w:space="0" w:color="000000"/>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Anyone who accidentally swallows pool water that has become contaminated by a faecal matter may contract Cryptosporidiosis</w:t>
            </w:r>
          </w:p>
          <w:p w:rsidR="00403D84" w:rsidRDefault="00403D84">
            <w:pPr>
              <w:rPr>
                <w:rFonts w:ascii="Arial Narrow" w:eastAsia="Arial Narrow" w:hAnsi="Arial Narrow" w:cs="Arial Narrow"/>
                <w:sz w:val="22"/>
                <w:szCs w:val="22"/>
              </w:rPr>
            </w:pPr>
          </w:p>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Children under 5 years and people with weakened immune systems are likely to be most seriously affected.</w:t>
            </w:r>
          </w:p>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single" w:sz="4" w:space="0" w:color="000000"/>
              <w:left w:val="single" w:sz="4" w:space="0" w:color="000000"/>
              <w:bottom w:val="single" w:sz="4" w:space="0" w:color="000000"/>
              <w:right w:val="single" w:sz="4" w:space="0" w:color="000000"/>
            </w:tcBorders>
          </w:tcPr>
          <w:p w:rsidR="00403D84" w:rsidRDefault="004973D9">
            <w:pPr>
              <w:spacing w:after="280"/>
              <w:rPr>
                <w:rFonts w:ascii="Arial Narrow" w:eastAsia="Arial Narrow" w:hAnsi="Arial Narrow" w:cs="Arial Narrow"/>
                <w:sz w:val="22"/>
                <w:szCs w:val="22"/>
              </w:rPr>
            </w:pPr>
            <w:r>
              <w:rPr>
                <w:rFonts w:ascii="Arial Narrow" w:eastAsia="Arial Narrow" w:hAnsi="Arial Narrow" w:cs="Arial Narrow"/>
                <w:sz w:val="22"/>
                <w:szCs w:val="22"/>
              </w:rPr>
              <w:t xml:space="preserve">Accredited training provided by PWTAG approved trainer, i.e. Physical Activity and Leisure Management (PALM) Academy.  Carlton Associates delivers the PALM Academy qualifications.  All the PALM. Academy qualifications are approved by PWTAG </w:t>
            </w:r>
          </w:p>
          <w:p w:rsidR="00403D84" w:rsidRDefault="004973D9">
            <w:pPr>
              <w:spacing w:before="280" w:after="280"/>
              <w:rPr>
                <w:rFonts w:ascii="Arial Narrow" w:eastAsia="Arial Narrow" w:hAnsi="Arial Narrow" w:cs="Arial Narrow"/>
                <w:sz w:val="22"/>
                <w:szCs w:val="22"/>
              </w:rPr>
            </w:pPr>
            <w:r>
              <w:rPr>
                <w:rFonts w:ascii="Arial Narrow" w:eastAsia="Arial Narrow" w:hAnsi="Arial Narrow" w:cs="Arial Narrow"/>
                <w:sz w:val="22"/>
                <w:szCs w:val="22"/>
              </w:rPr>
              <w:t>Outdoor Pools -</w:t>
            </w:r>
            <w:r>
              <w:rPr>
                <w:rFonts w:ascii="Arial Narrow" w:eastAsia="Arial Narrow" w:hAnsi="Arial Narrow" w:cs="Arial Narrow"/>
                <w:sz w:val="22"/>
                <w:szCs w:val="22"/>
              </w:rPr>
              <w:t>2 day Pool Carers course</w:t>
            </w:r>
          </w:p>
          <w:p w:rsidR="00403D84" w:rsidRDefault="004973D9">
            <w:pPr>
              <w:spacing w:before="280" w:after="280"/>
              <w:rPr>
                <w:rFonts w:ascii="Arial Narrow" w:eastAsia="Arial Narrow" w:hAnsi="Arial Narrow" w:cs="Arial Narrow"/>
                <w:sz w:val="22"/>
                <w:szCs w:val="22"/>
              </w:rPr>
            </w:pPr>
            <w:r>
              <w:rPr>
                <w:rFonts w:ascii="Arial Narrow" w:eastAsia="Arial Narrow" w:hAnsi="Arial Narrow" w:cs="Arial Narrow"/>
                <w:sz w:val="22"/>
                <w:szCs w:val="22"/>
              </w:rPr>
              <w:lastRenderedPageBreak/>
              <w:t>Indoor Pools – 3 day Pool Operators Course</w:t>
            </w:r>
          </w:p>
          <w:p w:rsidR="00403D84" w:rsidRDefault="004973D9">
            <w:pPr>
              <w:spacing w:before="280" w:after="280"/>
              <w:rPr>
                <w:rFonts w:ascii="Arial Narrow" w:eastAsia="Arial Narrow" w:hAnsi="Arial Narrow" w:cs="Arial Narrow"/>
                <w:sz w:val="22"/>
                <w:szCs w:val="22"/>
              </w:rPr>
            </w:pPr>
            <w:r>
              <w:rPr>
                <w:rFonts w:ascii="Arial Narrow" w:eastAsia="Arial Narrow" w:hAnsi="Arial Narrow" w:cs="Arial Narrow"/>
                <w:sz w:val="22"/>
                <w:szCs w:val="22"/>
              </w:rPr>
              <w:t>1 day Refresher training every three years</w:t>
            </w:r>
          </w:p>
          <w:p w:rsidR="00403D84" w:rsidRDefault="004973D9">
            <w:pPr>
              <w:spacing w:before="280" w:after="280"/>
              <w:rPr>
                <w:rFonts w:ascii="Arial Narrow" w:eastAsia="Arial Narrow" w:hAnsi="Arial Narrow" w:cs="Arial Narrow"/>
                <w:sz w:val="22"/>
                <w:szCs w:val="22"/>
              </w:rPr>
            </w:pPr>
            <w:r>
              <w:rPr>
                <w:rFonts w:ascii="Arial Narrow" w:eastAsia="Arial Narrow" w:hAnsi="Arial Narrow" w:cs="Arial Narrow"/>
                <w:sz w:val="22"/>
                <w:szCs w:val="22"/>
              </w:rPr>
              <w:t>1 day training for Head</w:t>
            </w:r>
            <w:r w:rsidR="001B6573">
              <w:rPr>
                <w:rFonts w:ascii="Arial Narrow" w:eastAsia="Arial Narrow" w:hAnsi="Arial Narrow" w:cs="Arial Narrow"/>
                <w:sz w:val="22"/>
                <w:szCs w:val="22"/>
              </w:rPr>
              <w:t xml:space="preserve"> </w:t>
            </w:r>
            <w:r>
              <w:rPr>
                <w:rFonts w:ascii="Arial Narrow" w:eastAsia="Arial Narrow" w:hAnsi="Arial Narrow" w:cs="Arial Narrow"/>
                <w:sz w:val="22"/>
                <w:szCs w:val="22"/>
              </w:rPr>
              <w:t>teachers wit</w:t>
            </w:r>
            <w:bookmarkStart w:id="1" w:name="_GoBack"/>
            <w:bookmarkEnd w:id="1"/>
            <w:r>
              <w:rPr>
                <w:rFonts w:ascii="Arial Narrow" w:eastAsia="Arial Narrow" w:hAnsi="Arial Narrow" w:cs="Arial Narrow"/>
                <w:sz w:val="22"/>
                <w:szCs w:val="22"/>
              </w:rPr>
              <w:t>h swimming pools</w:t>
            </w:r>
          </w:p>
          <w:p w:rsidR="00403D84" w:rsidRDefault="00403D84">
            <w:pPr>
              <w:spacing w:before="280"/>
              <w:rPr>
                <w:rFonts w:ascii="Arial Narrow" w:eastAsia="Arial Narrow" w:hAnsi="Arial Narrow" w:cs="Arial Narrow"/>
                <w:sz w:val="22"/>
                <w:szCs w:val="22"/>
              </w:rPr>
            </w:pPr>
          </w:p>
        </w:tc>
        <w:tc>
          <w:tcPr>
            <w:tcW w:w="2890" w:type="dxa"/>
            <w:tcBorders>
              <w:top w:val="single" w:sz="4" w:space="0" w:color="000000"/>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rPr>
            </w:pPr>
          </w:p>
        </w:tc>
        <w:tc>
          <w:tcPr>
            <w:tcW w:w="993" w:type="dxa"/>
            <w:tcBorders>
              <w:top w:val="single" w:sz="4" w:space="0" w:color="000000"/>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single" w:sz="4" w:space="0" w:color="000000"/>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single" w:sz="4" w:space="0" w:color="000000"/>
              <w:left w:val="single" w:sz="4" w:space="0" w:color="000000"/>
              <w:bottom w:val="nil"/>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Incompetent/ untrained pool operators/carers continued</w:t>
            </w:r>
          </w:p>
        </w:tc>
        <w:tc>
          <w:tcPr>
            <w:tcW w:w="2540" w:type="dxa"/>
            <w:tcBorders>
              <w:top w:val="single" w:sz="4" w:space="0" w:color="000000"/>
              <w:left w:val="single" w:sz="4" w:space="0" w:color="000000"/>
              <w:bottom w:val="nil"/>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single" w:sz="4" w:space="0" w:color="000000"/>
              <w:left w:val="single" w:sz="4" w:space="0" w:color="000000"/>
              <w:bottom w:val="nil"/>
              <w:right w:val="single" w:sz="4" w:space="0" w:color="000000"/>
            </w:tcBorders>
          </w:tcPr>
          <w:p w:rsidR="00403D84" w:rsidRDefault="004973D9">
            <w:pPr>
              <w:spacing w:after="280"/>
              <w:rPr>
                <w:rFonts w:ascii="Arial Narrow" w:eastAsia="Arial Narrow" w:hAnsi="Arial Narrow" w:cs="Arial Narrow"/>
                <w:sz w:val="22"/>
                <w:szCs w:val="22"/>
              </w:rPr>
            </w:pPr>
            <w:r>
              <w:rPr>
                <w:rFonts w:ascii="Arial Narrow" w:eastAsia="Arial Narrow" w:hAnsi="Arial Narrow" w:cs="Arial Narrow"/>
                <w:b/>
                <w:sz w:val="22"/>
                <w:szCs w:val="22"/>
              </w:rPr>
              <w:t xml:space="preserve">Monitoring - </w:t>
            </w:r>
            <w:r>
              <w:rPr>
                <w:rFonts w:ascii="Arial Narrow" w:eastAsia="Arial Narrow" w:hAnsi="Arial Narrow" w:cs="Arial Narrow"/>
                <w:sz w:val="22"/>
                <w:szCs w:val="22"/>
              </w:rPr>
              <w:t>Compliance inspections by Carlton Associates are undertaken once a term for indoor pools; once a year for outdoor pools</w:t>
            </w:r>
          </w:p>
          <w:p w:rsidR="00403D84" w:rsidRDefault="004973D9">
            <w:pPr>
              <w:spacing w:before="280"/>
              <w:rPr>
                <w:rFonts w:ascii="Arial Narrow" w:eastAsia="Arial Narrow" w:hAnsi="Arial Narrow" w:cs="Arial Narrow"/>
                <w:sz w:val="22"/>
                <w:szCs w:val="22"/>
              </w:rPr>
            </w:pPr>
            <w:r>
              <w:rPr>
                <w:rFonts w:ascii="Arial Narrow" w:eastAsia="Arial Narrow" w:hAnsi="Arial Narrow" w:cs="Arial Narrow"/>
                <w:sz w:val="22"/>
                <w:szCs w:val="22"/>
              </w:rPr>
              <w:t>Additional visits provided on request</w:t>
            </w:r>
          </w:p>
        </w:tc>
        <w:tc>
          <w:tcPr>
            <w:tcW w:w="289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993"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single" w:sz="4" w:space="0" w:color="000000"/>
              <w:left w:val="single" w:sz="4" w:space="0" w:color="000000"/>
              <w:bottom w:val="nil"/>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single" w:sz="4" w:space="0" w:color="000000"/>
              <w:left w:val="single" w:sz="4" w:space="0" w:color="000000"/>
              <w:bottom w:val="nil"/>
              <w:right w:val="single" w:sz="4" w:space="0" w:color="000000"/>
            </w:tcBorders>
          </w:tcPr>
          <w:p w:rsidR="00403D84" w:rsidRDefault="00403D84">
            <w:pPr>
              <w:jc w:val="center"/>
              <w:rPr>
                <w:rFonts w:ascii="Arial Narrow" w:eastAsia="Arial Narrow" w:hAnsi="Arial Narrow" w:cs="Arial Narrow"/>
                <w:sz w:val="22"/>
                <w:szCs w:val="22"/>
              </w:rPr>
            </w:pPr>
          </w:p>
        </w:tc>
      </w:tr>
      <w:tr w:rsidR="00403D84">
        <w:trPr>
          <w:trHeight w:val="168"/>
        </w:trPr>
        <w:tc>
          <w:tcPr>
            <w:tcW w:w="1784"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2540" w:type="dxa"/>
            <w:tcBorders>
              <w:top w:val="nil"/>
              <w:left w:val="single" w:sz="4" w:space="0" w:color="000000"/>
              <w:bottom w:val="single" w:sz="4" w:space="0" w:color="000000"/>
              <w:right w:val="single" w:sz="4" w:space="0" w:color="000000"/>
            </w:tcBorders>
          </w:tcPr>
          <w:p w:rsidR="00403D84" w:rsidRDefault="00403D84">
            <w:pPr>
              <w:pBdr>
                <w:top w:val="nil"/>
                <w:left w:val="nil"/>
                <w:bottom w:val="nil"/>
                <w:right w:val="nil"/>
                <w:between w:val="nil"/>
              </w:pBdr>
              <w:tabs>
                <w:tab w:val="center" w:pos="4320"/>
                <w:tab w:val="right" w:pos="8640"/>
              </w:tabs>
              <w:rPr>
                <w:rFonts w:ascii="Arial Narrow" w:eastAsia="Arial Narrow" w:hAnsi="Arial Narrow" w:cs="Arial Narrow"/>
                <w:color w:val="000000"/>
                <w:sz w:val="22"/>
                <w:szCs w:val="22"/>
              </w:rPr>
            </w:pPr>
          </w:p>
        </w:tc>
        <w:tc>
          <w:tcPr>
            <w:tcW w:w="2709"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b/>
                <w:sz w:val="22"/>
                <w:szCs w:val="22"/>
              </w:rPr>
            </w:pPr>
          </w:p>
        </w:tc>
        <w:tc>
          <w:tcPr>
            <w:tcW w:w="2890" w:type="dxa"/>
            <w:tcBorders>
              <w:top w:val="nil"/>
              <w:left w:val="single" w:sz="4" w:space="0" w:color="000000"/>
              <w:bottom w:val="single" w:sz="4" w:space="0" w:color="000000"/>
              <w:right w:val="single" w:sz="4" w:space="0" w:color="000000"/>
            </w:tcBorders>
          </w:tcPr>
          <w:p w:rsidR="00403D84" w:rsidRDefault="004973D9">
            <w:pPr>
              <w:rPr>
                <w:rFonts w:ascii="Arial Narrow" w:eastAsia="Arial Narrow" w:hAnsi="Arial Narrow" w:cs="Arial Narrow"/>
                <w:sz w:val="22"/>
                <w:szCs w:val="22"/>
              </w:rPr>
            </w:pPr>
            <w:r>
              <w:rPr>
                <w:rFonts w:ascii="Arial Narrow" w:eastAsia="Arial Narrow" w:hAnsi="Arial Narrow" w:cs="Arial Narrow"/>
                <w:sz w:val="22"/>
                <w:szCs w:val="22"/>
              </w:rPr>
              <w:t>Health and Safety Adviser monitoring visits for outdoor pools opening in the Autumn Term</w:t>
            </w:r>
          </w:p>
          <w:p w:rsidR="00403D84" w:rsidRDefault="00403D84">
            <w:pPr>
              <w:rPr>
                <w:rFonts w:ascii="Arial Narrow" w:eastAsia="Arial Narrow" w:hAnsi="Arial Narrow" w:cs="Arial Narrow"/>
                <w:sz w:val="22"/>
                <w:szCs w:val="22"/>
              </w:rPr>
            </w:pPr>
          </w:p>
        </w:tc>
        <w:tc>
          <w:tcPr>
            <w:tcW w:w="993"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92"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800" w:type="dxa"/>
            <w:tcBorders>
              <w:top w:val="nil"/>
              <w:left w:val="single" w:sz="4" w:space="0" w:color="000000"/>
              <w:bottom w:val="single" w:sz="4" w:space="0" w:color="000000"/>
              <w:right w:val="single" w:sz="4" w:space="0" w:color="000000"/>
            </w:tcBorders>
          </w:tcPr>
          <w:p w:rsidR="00403D84" w:rsidRDefault="00403D84">
            <w:pPr>
              <w:rPr>
                <w:rFonts w:ascii="Arial Narrow" w:eastAsia="Arial Narrow" w:hAnsi="Arial Narrow" w:cs="Arial Narrow"/>
                <w:sz w:val="22"/>
                <w:szCs w:val="22"/>
              </w:rPr>
            </w:pPr>
          </w:p>
        </w:tc>
        <w:tc>
          <w:tcPr>
            <w:tcW w:w="108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c>
          <w:tcPr>
            <w:tcW w:w="900" w:type="dxa"/>
            <w:tcBorders>
              <w:top w:val="nil"/>
              <w:left w:val="single" w:sz="4" w:space="0" w:color="000000"/>
              <w:bottom w:val="single" w:sz="4" w:space="0" w:color="000000"/>
              <w:right w:val="single" w:sz="4" w:space="0" w:color="000000"/>
            </w:tcBorders>
          </w:tcPr>
          <w:p w:rsidR="00403D84" w:rsidRDefault="00403D84">
            <w:pPr>
              <w:jc w:val="center"/>
              <w:rPr>
                <w:rFonts w:ascii="Arial Narrow" w:eastAsia="Arial Narrow" w:hAnsi="Arial Narrow" w:cs="Arial Narrow"/>
                <w:sz w:val="22"/>
                <w:szCs w:val="22"/>
              </w:rPr>
            </w:pPr>
          </w:p>
        </w:tc>
      </w:tr>
    </w:tbl>
    <w:p w:rsidR="00403D84" w:rsidRDefault="00403D84"/>
    <w:p w:rsidR="00403D84" w:rsidRDefault="00403D84"/>
    <w:p w:rsidR="00403D84" w:rsidRDefault="004973D9">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rPr>
        <w:t xml:space="preserve">Control Measures Acceptable     Yes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Revision date: - ……………………………………………</w:t>
      </w:r>
    </w:p>
    <w:p w:rsidR="00403D84" w:rsidRDefault="00403D84">
      <w:pPr>
        <w:rPr>
          <w:rFonts w:ascii="Arial" w:eastAsia="Arial" w:hAnsi="Arial" w:cs="Arial"/>
          <w:b/>
          <w:sz w:val="18"/>
          <w:szCs w:val="18"/>
        </w:rPr>
      </w:pPr>
    </w:p>
    <w:p w:rsidR="00403D84" w:rsidRDefault="00403D84">
      <w:pPr>
        <w:rPr>
          <w:rFonts w:ascii="Arial" w:eastAsia="Arial" w:hAnsi="Arial" w:cs="Arial"/>
          <w:b/>
          <w:sz w:val="18"/>
          <w:szCs w:val="18"/>
        </w:rPr>
      </w:pPr>
    </w:p>
    <w:p w:rsidR="00403D84" w:rsidRDefault="00403D84">
      <w:pPr>
        <w:rPr>
          <w:rFonts w:ascii="Arial" w:eastAsia="Arial" w:hAnsi="Arial" w:cs="Arial"/>
          <w:b/>
          <w:sz w:val="18"/>
          <w:szCs w:val="18"/>
        </w:rPr>
      </w:pPr>
    </w:p>
    <w:p w:rsidR="00403D84" w:rsidRDefault="004973D9">
      <w:pPr>
        <w:rPr>
          <w:rFonts w:ascii="Arial" w:eastAsia="Arial" w:hAnsi="Arial" w:cs="Arial"/>
          <w:b/>
        </w:rPr>
      </w:pPr>
      <w:r>
        <w:rPr>
          <w:rFonts w:ascii="Arial" w:eastAsia="Arial" w:hAnsi="Arial" w:cs="Arial"/>
          <w:b/>
        </w:rPr>
        <w:t>SIGNED OFF BY: ……………………………………………………………….DATE</w:t>
      </w:r>
      <w:proofErr w:type="gramStart"/>
      <w:r>
        <w:rPr>
          <w:rFonts w:ascii="Arial" w:eastAsia="Arial" w:hAnsi="Arial" w:cs="Arial"/>
          <w:b/>
        </w:rPr>
        <w:t>:  …………………………………….………………..</w:t>
      </w:r>
      <w:proofErr w:type="gramEnd"/>
    </w:p>
    <w:p w:rsidR="00403D84" w:rsidRDefault="00403D84">
      <w:pPr>
        <w:rPr>
          <w:rFonts w:ascii="Arial" w:eastAsia="Arial" w:hAnsi="Arial" w:cs="Arial"/>
          <w:b/>
        </w:rPr>
      </w:pPr>
    </w:p>
    <w:p w:rsidR="00403D84" w:rsidRDefault="00403D84">
      <w:pPr>
        <w:rPr>
          <w:rFonts w:ascii="Arial" w:eastAsia="Arial" w:hAnsi="Arial" w:cs="Arial"/>
          <w:b/>
        </w:rPr>
      </w:pPr>
    </w:p>
    <w:p w:rsidR="00403D84" w:rsidRDefault="004973D9">
      <w:pPr>
        <w:rPr>
          <w:rFonts w:ascii="Arial" w:eastAsia="Arial" w:hAnsi="Arial" w:cs="Arial"/>
          <w:b/>
        </w:rPr>
      </w:pPr>
      <w:r>
        <w:rPr>
          <w:rFonts w:ascii="Arial" w:eastAsia="Arial" w:hAnsi="Arial" w:cs="Arial"/>
          <w:b/>
        </w:rPr>
        <w:t>JOB TITLE: ………………………………………………………………………</w:t>
      </w:r>
    </w:p>
    <w:p w:rsidR="00403D84" w:rsidRDefault="00403D84">
      <w:pPr>
        <w:rPr>
          <w:rFonts w:ascii="Arial" w:eastAsia="Arial" w:hAnsi="Arial" w:cs="Arial"/>
          <w:b/>
        </w:rPr>
      </w:pPr>
    </w:p>
    <w:p w:rsidR="00403D84" w:rsidRDefault="004973D9">
      <w:pPr>
        <w:rPr>
          <w:rFonts w:ascii="Arial" w:eastAsia="Arial" w:hAnsi="Arial" w:cs="Arial"/>
        </w:rPr>
      </w:pPr>
      <w:r>
        <w:rPr>
          <w:rFonts w:ascii="Arial" w:eastAsia="Arial" w:hAnsi="Arial" w:cs="Arial"/>
        </w:rPr>
        <w:t>Further controls need to be in place and monitored as satisfactory before finally signing off this assessment</w:t>
      </w:r>
      <w:r>
        <w:rPr>
          <w:rFonts w:ascii="Arial" w:eastAsia="Arial" w:hAnsi="Arial" w:cs="Arial"/>
        </w:rPr>
        <w:tab/>
      </w:r>
    </w:p>
    <w:p w:rsidR="00403D84" w:rsidRDefault="004973D9">
      <w:pPr>
        <w:rPr>
          <w:rFonts w:ascii="Arial" w:eastAsia="Arial" w:hAnsi="Arial" w:cs="Arial"/>
          <w:b/>
          <w:sz w:val="22"/>
          <w:szCs w:val="22"/>
        </w:rPr>
      </w:pPr>
      <w:r>
        <w:br w:type="page"/>
      </w:r>
      <w:r>
        <w:rPr>
          <w:rFonts w:ascii="Arial" w:eastAsia="Arial" w:hAnsi="Arial" w:cs="Arial"/>
          <w:b/>
          <w:sz w:val="22"/>
          <w:szCs w:val="22"/>
          <w:u w:val="single"/>
        </w:rPr>
        <w:lastRenderedPageBreak/>
        <w:t>KEY</w:t>
      </w:r>
      <w:r>
        <w:rPr>
          <w:rFonts w:ascii="Arial" w:eastAsia="Arial" w:hAnsi="Arial" w:cs="Arial"/>
          <w:b/>
          <w:sz w:val="22"/>
          <w:szCs w:val="22"/>
        </w:rPr>
        <w:t>:</w:t>
      </w:r>
    </w:p>
    <w:p w:rsidR="00403D84" w:rsidRDefault="00403D84">
      <w:pPr>
        <w:rPr>
          <w:rFonts w:ascii="Arial" w:eastAsia="Arial" w:hAnsi="Arial" w:cs="Arial"/>
          <w:b/>
          <w:sz w:val="22"/>
          <w:szCs w:val="22"/>
        </w:rPr>
      </w:pPr>
    </w:p>
    <w:p w:rsidR="00403D84" w:rsidRDefault="004973D9">
      <w:pPr>
        <w:ind w:right="-262"/>
        <w:rPr>
          <w:rFonts w:ascii="Arial" w:eastAsia="Arial" w:hAnsi="Arial" w:cs="Arial"/>
          <w:sz w:val="22"/>
          <w:szCs w:val="22"/>
        </w:rPr>
      </w:pPr>
      <w:r>
        <w:rPr>
          <w:rFonts w:ascii="Arial" w:eastAsia="Arial" w:hAnsi="Arial" w:cs="Arial"/>
          <w:b/>
          <w:sz w:val="22"/>
          <w:szCs w:val="22"/>
        </w:rPr>
        <w:t>Likelihood</w:t>
      </w:r>
      <w:r>
        <w:rPr>
          <w:rFonts w:ascii="Arial" w:eastAsia="Arial" w:hAnsi="Arial" w:cs="Arial"/>
          <w:sz w:val="22"/>
          <w:szCs w:val="22"/>
        </w:rPr>
        <w:t xml:space="preserve"> </w:t>
      </w:r>
      <w:r>
        <w:rPr>
          <w:rFonts w:ascii="Arial" w:eastAsia="Arial" w:hAnsi="Arial" w:cs="Arial"/>
          <w:b/>
          <w:sz w:val="22"/>
          <w:szCs w:val="22"/>
        </w:rPr>
        <w:t>of hazard happening</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Severity</w:t>
      </w:r>
      <w:r>
        <w:rPr>
          <w:rFonts w:ascii="Arial" w:eastAsia="Arial" w:hAnsi="Arial" w:cs="Arial"/>
          <w:sz w:val="22"/>
          <w:szCs w:val="22"/>
        </w:rPr>
        <w:t>:</w:t>
      </w:r>
    </w:p>
    <w:p w:rsidR="00403D84" w:rsidRDefault="00403D84">
      <w:pPr>
        <w:ind w:right="-262"/>
        <w:rPr>
          <w:rFonts w:ascii="Arial" w:eastAsia="Arial" w:hAnsi="Arial" w:cs="Arial"/>
          <w:sz w:val="22"/>
          <w:szCs w:val="22"/>
        </w:rPr>
      </w:pPr>
    </w:p>
    <w:p w:rsidR="00403D84" w:rsidRDefault="004973D9">
      <w:pPr>
        <w:tabs>
          <w:tab w:val="left" w:pos="142"/>
          <w:tab w:val="left" w:pos="284"/>
          <w:tab w:val="left" w:pos="567"/>
          <w:tab w:val="left" w:pos="851"/>
        </w:tabs>
        <w:jc w:val="both"/>
        <w:rPr>
          <w:rFonts w:ascii="Arial" w:eastAsia="Arial" w:hAnsi="Arial" w:cs="Arial"/>
          <w:sz w:val="22"/>
          <w:szCs w:val="22"/>
        </w:rPr>
      </w:pPr>
      <w:r>
        <w:rPr>
          <w:rFonts w:ascii="Arial" w:eastAsia="Arial" w:hAnsi="Arial" w:cs="Arial"/>
          <w:sz w:val="22"/>
          <w:szCs w:val="22"/>
        </w:rPr>
        <w:t>Low, highly unlikely to happen = Score 1</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Slightly Harmful, Score 1</w:t>
      </w:r>
    </w:p>
    <w:p w:rsidR="00403D84" w:rsidRDefault="004973D9">
      <w:pPr>
        <w:tabs>
          <w:tab w:val="left" w:pos="142"/>
          <w:tab w:val="left" w:pos="284"/>
          <w:tab w:val="left" w:pos="567"/>
          <w:tab w:val="left" w:pos="851"/>
        </w:tabs>
        <w:ind w:left="6480"/>
        <w:jc w:val="both"/>
        <w:rPr>
          <w:rFonts w:ascii="Arial" w:eastAsia="Arial" w:hAnsi="Arial" w:cs="Arial"/>
          <w:sz w:val="22"/>
          <w:szCs w:val="22"/>
        </w:rPr>
      </w:pPr>
      <w:proofErr w:type="gramStart"/>
      <w:r>
        <w:rPr>
          <w:rFonts w:ascii="Arial" w:eastAsia="Arial" w:hAnsi="Arial" w:cs="Arial"/>
          <w:sz w:val="22"/>
          <w:szCs w:val="22"/>
        </w:rPr>
        <w:t>e.g</w:t>
      </w:r>
      <w:proofErr w:type="gramEnd"/>
      <w:r>
        <w:rPr>
          <w:rFonts w:ascii="Arial" w:eastAsia="Arial" w:hAnsi="Arial" w:cs="Arial"/>
          <w:sz w:val="22"/>
          <w:szCs w:val="22"/>
        </w:rPr>
        <w:t>. superficial injuries; minor cuts and bruises; eye irritation from dust;</w:t>
      </w:r>
    </w:p>
    <w:p w:rsidR="00403D84" w:rsidRDefault="004973D9">
      <w:pPr>
        <w:tabs>
          <w:tab w:val="left" w:pos="142"/>
          <w:tab w:val="left" w:pos="284"/>
          <w:tab w:val="left" w:pos="567"/>
          <w:tab w:val="left" w:pos="851"/>
        </w:tabs>
        <w:ind w:left="6480"/>
        <w:jc w:val="both"/>
        <w:rPr>
          <w:rFonts w:ascii="Arial" w:eastAsia="Arial" w:hAnsi="Arial" w:cs="Arial"/>
          <w:sz w:val="22"/>
          <w:szCs w:val="22"/>
        </w:rPr>
      </w:pPr>
      <w:proofErr w:type="gramStart"/>
      <w:r>
        <w:rPr>
          <w:rFonts w:ascii="Arial" w:eastAsia="Arial" w:hAnsi="Arial" w:cs="Arial"/>
          <w:sz w:val="22"/>
          <w:szCs w:val="22"/>
        </w:rPr>
        <w:t>nuisance</w:t>
      </w:r>
      <w:proofErr w:type="gramEnd"/>
      <w:r>
        <w:rPr>
          <w:rFonts w:ascii="Arial" w:eastAsia="Arial" w:hAnsi="Arial" w:cs="Arial"/>
          <w:sz w:val="22"/>
          <w:szCs w:val="22"/>
        </w:rPr>
        <w:t xml:space="preserve"> and irritation; ill-health leading to temporary discomfort;</w:t>
      </w:r>
    </w:p>
    <w:p w:rsidR="00403D84" w:rsidRDefault="004973D9">
      <w:pPr>
        <w:ind w:left="6480" w:right="-262"/>
        <w:rPr>
          <w:rFonts w:ascii="Arial" w:eastAsia="Arial" w:hAnsi="Arial" w:cs="Arial"/>
          <w:sz w:val="22"/>
          <w:szCs w:val="22"/>
        </w:rPr>
      </w:pPr>
      <w:proofErr w:type="gramStart"/>
      <w:r>
        <w:rPr>
          <w:rFonts w:ascii="Arial" w:eastAsia="Arial" w:hAnsi="Arial" w:cs="Arial"/>
          <w:sz w:val="22"/>
          <w:szCs w:val="22"/>
        </w:rPr>
        <w:t>minor</w:t>
      </w:r>
      <w:proofErr w:type="gramEnd"/>
      <w:r>
        <w:rPr>
          <w:rFonts w:ascii="Arial" w:eastAsia="Arial" w:hAnsi="Arial" w:cs="Arial"/>
          <w:sz w:val="22"/>
          <w:szCs w:val="22"/>
        </w:rPr>
        <w:t xml:space="preserve"> psychological effect</w:t>
      </w:r>
    </w:p>
    <w:p w:rsidR="00403D84" w:rsidRDefault="00403D84">
      <w:pPr>
        <w:ind w:right="-262"/>
        <w:rPr>
          <w:rFonts w:ascii="Arial" w:eastAsia="Arial" w:hAnsi="Arial" w:cs="Arial"/>
          <w:sz w:val="22"/>
          <w:szCs w:val="22"/>
        </w:rPr>
      </w:pPr>
    </w:p>
    <w:p w:rsidR="00403D84" w:rsidRDefault="004973D9">
      <w:pPr>
        <w:ind w:right="-262"/>
        <w:rPr>
          <w:rFonts w:ascii="Arial" w:eastAsia="Arial" w:hAnsi="Arial" w:cs="Arial"/>
          <w:sz w:val="22"/>
          <w:szCs w:val="22"/>
        </w:rPr>
      </w:pPr>
      <w:r>
        <w:rPr>
          <w:rFonts w:ascii="Arial" w:eastAsia="Arial" w:hAnsi="Arial" w:cs="Arial"/>
          <w:sz w:val="22"/>
          <w:szCs w:val="22"/>
        </w:rPr>
        <w:t xml:space="preserve">Medium, unlikely to happen = Score 2: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Harmful Score</w:t>
      </w:r>
      <w:r>
        <w:rPr>
          <w:rFonts w:ascii="Arial" w:eastAsia="Arial" w:hAnsi="Arial" w:cs="Arial"/>
          <w:sz w:val="22"/>
          <w:szCs w:val="22"/>
        </w:rPr>
        <w:t xml:space="preserve"> 2</w:t>
      </w:r>
    </w:p>
    <w:p w:rsidR="00403D84" w:rsidRDefault="004973D9">
      <w:pPr>
        <w:tabs>
          <w:tab w:val="left" w:pos="142"/>
          <w:tab w:val="left" w:pos="284"/>
          <w:tab w:val="left" w:pos="567"/>
          <w:tab w:val="left" w:pos="851"/>
        </w:tabs>
        <w:ind w:left="6480"/>
        <w:jc w:val="both"/>
        <w:rPr>
          <w:rFonts w:ascii="Arial" w:eastAsia="Arial" w:hAnsi="Arial" w:cs="Arial"/>
          <w:sz w:val="22"/>
          <w:szCs w:val="22"/>
        </w:rPr>
      </w:pPr>
      <w:proofErr w:type="gramStart"/>
      <w:r>
        <w:rPr>
          <w:rFonts w:ascii="Arial" w:eastAsia="Arial" w:hAnsi="Arial" w:cs="Arial"/>
          <w:sz w:val="22"/>
          <w:szCs w:val="22"/>
        </w:rPr>
        <w:t>e.g</w:t>
      </w:r>
      <w:proofErr w:type="gramEnd"/>
      <w:r>
        <w:rPr>
          <w:rFonts w:ascii="Arial" w:eastAsia="Arial" w:hAnsi="Arial" w:cs="Arial"/>
          <w:sz w:val="22"/>
          <w:szCs w:val="22"/>
        </w:rPr>
        <w:t>. lacerations; burns; concussion; serious sprain; fractures; deafness;</w:t>
      </w:r>
    </w:p>
    <w:p w:rsidR="00403D84" w:rsidRDefault="004973D9">
      <w:pPr>
        <w:tabs>
          <w:tab w:val="left" w:pos="142"/>
          <w:tab w:val="left" w:pos="284"/>
          <w:tab w:val="left" w:pos="567"/>
          <w:tab w:val="left" w:pos="851"/>
        </w:tabs>
        <w:ind w:left="6480" w:right="-192"/>
        <w:jc w:val="both"/>
        <w:rPr>
          <w:rFonts w:ascii="Arial" w:eastAsia="Arial" w:hAnsi="Arial" w:cs="Arial"/>
          <w:sz w:val="22"/>
          <w:szCs w:val="22"/>
        </w:rPr>
      </w:pPr>
      <w:proofErr w:type="gramStart"/>
      <w:r>
        <w:rPr>
          <w:rFonts w:ascii="Arial" w:eastAsia="Arial" w:hAnsi="Arial" w:cs="Arial"/>
          <w:sz w:val="22"/>
          <w:szCs w:val="22"/>
        </w:rPr>
        <w:t>dermatitis</w:t>
      </w:r>
      <w:proofErr w:type="gramEnd"/>
      <w:r>
        <w:rPr>
          <w:rFonts w:ascii="Arial" w:eastAsia="Arial" w:hAnsi="Arial" w:cs="Arial"/>
          <w:sz w:val="22"/>
          <w:szCs w:val="22"/>
        </w:rPr>
        <w:t>; asthma; work-related upper limb disorders; ill-health;</w:t>
      </w:r>
    </w:p>
    <w:p w:rsidR="00403D84" w:rsidRDefault="004973D9">
      <w:pPr>
        <w:tabs>
          <w:tab w:val="left" w:pos="142"/>
          <w:tab w:val="left" w:pos="284"/>
          <w:tab w:val="left" w:pos="567"/>
          <w:tab w:val="left" w:pos="851"/>
        </w:tabs>
        <w:ind w:left="6480" w:right="-192"/>
        <w:jc w:val="both"/>
        <w:rPr>
          <w:rFonts w:ascii="Arial" w:eastAsia="Arial" w:hAnsi="Arial" w:cs="Arial"/>
          <w:sz w:val="22"/>
          <w:szCs w:val="22"/>
        </w:rPr>
      </w:pPr>
      <w:proofErr w:type="gramStart"/>
      <w:r>
        <w:rPr>
          <w:rFonts w:ascii="Arial" w:eastAsia="Arial" w:hAnsi="Arial" w:cs="Arial"/>
          <w:sz w:val="22"/>
          <w:szCs w:val="22"/>
        </w:rPr>
        <w:t>significant</w:t>
      </w:r>
      <w:proofErr w:type="gramEnd"/>
      <w:r>
        <w:rPr>
          <w:rFonts w:ascii="Arial" w:eastAsia="Arial" w:hAnsi="Arial" w:cs="Arial"/>
          <w:sz w:val="22"/>
          <w:szCs w:val="22"/>
        </w:rPr>
        <w:t xml:space="preserve"> psychological effect </w:t>
      </w:r>
    </w:p>
    <w:p w:rsidR="00403D84" w:rsidRDefault="00403D84">
      <w:pPr>
        <w:rPr>
          <w:rFonts w:ascii="Arial" w:eastAsia="Arial" w:hAnsi="Arial" w:cs="Arial"/>
          <w:sz w:val="22"/>
          <w:szCs w:val="22"/>
        </w:rPr>
      </w:pPr>
    </w:p>
    <w:p w:rsidR="00403D84" w:rsidRDefault="004973D9">
      <w:pPr>
        <w:rPr>
          <w:rFonts w:ascii="Arial" w:eastAsia="Arial" w:hAnsi="Arial" w:cs="Arial"/>
          <w:sz w:val="22"/>
          <w:szCs w:val="22"/>
        </w:rPr>
      </w:pPr>
      <w:r>
        <w:rPr>
          <w:rFonts w:ascii="Arial" w:eastAsia="Arial" w:hAnsi="Arial" w:cs="Arial"/>
          <w:sz w:val="22"/>
          <w:szCs w:val="22"/>
        </w:rPr>
        <w:t>High, likely to happen = score 3</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Extremely Harmful Score 3 </w:t>
      </w:r>
    </w:p>
    <w:p w:rsidR="00403D84" w:rsidRDefault="004973D9">
      <w:pPr>
        <w:tabs>
          <w:tab w:val="left" w:pos="142"/>
          <w:tab w:val="left" w:pos="284"/>
          <w:tab w:val="left" w:pos="567"/>
          <w:tab w:val="left" w:pos="851"/>
        </w:tabs>
        <w:ind w:left="6480" w:right="-192"/>
        <w:jc w:val="both"/>
        <w:rPr>
          <w:rFonts w:ascii="Arial" w:eastAsia="Arial" w:hAnsi="Arial" w:cs="Arial"/>
          <w:sz w:val="22"/>
          <w:szCs w:val="22"/>
        </w:rPr>
      </w:pPr>
      <w:proofErr w:type="gramStart"/>
      <w:r>
        <w:rPr>
          <w:rFonts w:ascii="Arial" w:eastAsia="Arial" w:hAnsi="Arial" w:cs="Arial"/>
          <w:sz w:val="22"/>
          <w:szCs w:val="22"/>
        </w:rPr>
        <w:t>e.g</w:t>
      </w:r>
      <w:proofErr w:type="gramEnd"/>
      <w:r>
        <w:rPr>
          <w:rFonts w:ascii="Arial" w:eastAsia="Arial" w:hAnsi="Arial" w:cs="Arial"/>
          <w:sz w:val="22"/>
          <w:szCs w:val="22"/>
        </w:rPr>
        <w:t>. amputati</w:t>
      </w:r>
      <w:r>
        <w:rPr>
          <w:rFonts w:ascii="Arial" w:eastAsia="Arial" w:hAnsi="Arial" w:cs="Arial"/>
          <w:sz w:val="22"/>
          <w:szCs w:val="22"/>
        </w:rPr>
        <w:t xml:space="preserve">ons; major fractures; poisonings; multiple injuries; fatal injuries; </w:t>
      </w:r>
    </w:p>
    <w:p w:rsidR="00403D84" w:rsidRDefault="004973D9">
      <w:pPr>
        <w:tabs>
          <w:tab w:val="left" w:pos="142"/>
          <w:tab w:val="left" w:pos="284"/>
          <w:tab w:val="left" w:pos="567"/>
          <w:tab w:val="left" w:pos="851"/>
        </w:tabs>
        <w:ind w:left="6480" w:right="-192"/>
        <w:jc w:val="both"/>
        <w:rPr>
          <w:rFonts w:ascii="Arial" w:eastAsia="Arial" w:hAnsi="Arial" w:cs="Arial"/>
          <w:sz w:val="22"/>
          <w:szCs w:val="22"/>
        </w:rPr>
      </w:pPr>
      <w:proofErr w:type="gramStart"/>
      <w:r>
        <w:rPr>
          <w:rFonts w:ascii="Arial" w:eastAsia="Arial" w:hAnsi="Arial" w:cs="Arial"/>
          <w:sz w:val="22"/>
          <w:szCs w:val="22"/>
        </w:rPr>
        <w:t>occupational</w:t>
      </w:r>
      <w:proofErr w:type="gramEnd"/>
      <w:r>
        <w:rPr>
          <w:rFonts w:ascii="Arial" w:eastAsia="Arial" w:hAnsi="Arial" w:cs="Arial"/>
          <w:sz w:val="22"/>
          <w:szCs w:val="22"/>
        </w:rPr>
        <w:t xml:space="preserve"> cancer; other severely life shortening diseases; </w:t>
      </w:r>
    </w:p>
    <w:p w:rsidR="00403D84" w:rsidRDefault="004973D9">
      <w:pPr>
        <w:tabs>
          <w:tab w:val="left" w:pos="142"/>
          <w:tab w:val="left" w:pos="284"/>
          <w:tab w:val="left" w:pos="567"/>
          <w:tab w:val="left" w:pos="851"/>
        </w:tabs>
        <w:ind w:left="6480" w:right="-192"/>
        <w:jc w:val="both"/>
        <w:rPr>
          <w:sz w:val="22"/>
          <w:szCs w:val="22"/>
        </w:rPr>
      </w:pPr>
      <w:proofErr w:type="gramStart"/>
      <w:r>
        <w:rPr>
          <w:rFonts w:ascii="Arial" w:eastAsia="Arial" w:hAnsi="Arial" w:cs="Arial"/>
          <w:sz w:val="22"/>
          <w:szCs w:val="22"/>
        </w:rPr>
        <w:t>acute</w:t>
      </w:r>
      <w:proofErr w:type="gramEnd"/>
      <w:r>
        <w:rPr>
          <w:rFonts w:ascii="Arial" w:eastAsia="Arial" w:hAnsi="Arial" w:cs="Arial"/>
          <w:sz w:val="22"/>
          <w:szCs w:val="22"/>
        </w:rPr>
        <w:t xml:space="preserve"> fatal diseases; serious psychological effect</w:t>
      </w:r>
    </w:p>
    <w:p w:rsidR="00403D84" w:rsidRDefault="00403D84">
      <w:pPr>
        <w:ind w:left="5040"/>
        <w:rPr>
          <w:rFonts w:ascii="Arial" w:eastAsia="Arial" w:hAnsi="Arial" w:cs="Arial"/>
          <w:b/>
          <w:sz w:val="8"/>
          <w:szCs w:val="8"/>
        </w:rPr>
      </w:pPr>
    </w:p>
    <w:p w:rsidR="00403D84" w:rsidRDefault="004973D9">
      <w:pPr>
        <w:ind w:left="5040" w:hanging="5040"/>
        <w:rPr>
          <w:rFonts w:ascii="Arial" w:eastAsia="Arial" w:hAnsi="Arial" w:cs="Arial"/>
          <w:sz w:val="22"/>
          <w:szCs w:val="22"/>
        </w:rPr>
      </w:pPr>
      <w:r>
        <w:rPr>
          <w:rFonts w:ascii="Arial" w:eastAsia="Arial" w:hAnsi="Arial" w:cs="Arial"/>
          <w:b/>
          <w:sz w:val="22"/>
          <w:szCs w:val="22"/>
        </w:rPr>
        <w:t>Overall Risk</w:t>
      </w:r>
      <w:r>
        <w:rPr>
          <w:rFonts w:ascii="Arial" w:eastAsia="Arial" w:hAnsi="Arial" w:cs="Arial"/>
          <w:sz w:val="22"/>
          <w:szCs w:val="22"/>
        </w:rPr>
        <w:t xml:space="preserve"> = Likelihood x Severity:  - </w:t>
      </w:r>
    </w:p>
    <w:p w:rsidR="00403D84" w:rsidRDefault="00403D84">
      <w:pPr>
        <w:rPr>
          <w:rFonts w:ascii="Arial" w:eastAsia="Arial" w:hAnsi="Arial" w:cs="Arial"/>
          <w:sz w:val="22"/>
          <w:szCs w:val="22"/>
        </w:rPr>
      </w:pPr>
    </w:p>
    <w:p w:rsidR="00403D84" w:rsidRDefault="004973D9">
      <w:pPr>
        <w:rPr>
          <w:rFonts w:ascii="Arial" w:eastAsia="Arial" w:hAnsi="Arial" w:cs="Arial"/>
          <w:sz w:val="22"/>
          <w:szCs w:val="22"/>
        </w:rPr>
      </w:pPr>
      <w:r>
        <w:rPr>
          <w:rFonts w:ascii="Arial" w:eastAsia="Arial" w:hAnsi="Arial" w:cs="Arial"/>
          <w:sz w:val="22"/>
          <w:szCs w:val="22"/>
        </w:rPr>
        <w:t xml:space="preserve">Score:  6 &amp; 9 = High, urgent action required  </w:t>
      </w:r>
    </w:p>
    <w:p w:rsidR="00403D84" w:rsidRDefault="00403D84">
      <w:pPr>
        <w:rPr>
          <w:rFonts w:ascii="Arial" w:eastAsia="Arial" w:hAnsi="Arial" w:cs="Arial"/>
          <w:sz w:val="22"/>
          <w:szCs w:val="22"/>
        </w:rPr>
      </w:pPr>
    </w:p>
    <w:p w:rsidR="00403D84" w:rsidRDefault="004973D9">
      <w:pPr>
        <w:rPr>
          <w:rFonts w:ascii="Arial" w:eastAsia="Arial" w:hAnsi="Arial" w:cs="Arial"/>
          <w:sz w:val="22"/>
          <w:szCs w:val="22"/>
        </w:rPr>
      </w:pPr>
      <w:r>
        <w:rPr>
          <w:rFonts w:ascii="Arial" w:eastAsia="Arial" w:hAnsi="Arial" w:cs="Arial"/>
          <w:sz w:val="22"/>
          <w:szCs w:val="22"/>
        </w:rPr>
        <w:t xml:space="preserve">Score:  3 &amp; 4 = Medium, action to an agreed timetable </w:t>
      </w:r>
    </w:p>
    <w:p w:rsidR="00403D84" w:rsidRDefault="00403D84">
      <w:pPr>
        <w:rPr>
          <w:rFonts w:ascii="Arial" w:eastAsia="Arial" w:hAnsi="Arial" w:cs="Arial"/>
          <w:sz w:val="22"/>
          <w:szCs w:val="22"/>
        </w:rPr>
      </w:pPr>
    </w:p>
    <w:p w:rsidR="00403D84" w:rsidRDefault="004973D9">
      <w:pPr>
        <w:rPr>
          <w:rFonts w:ascii="Arial" w:eastAsia="Arial" w:hAnsi="Arial" w:cs="Arial"/>
          <w:sz w:val="22"/>
          <w:szCs w:val="22"/>
        </w:rPr>
      </w:pPr>
      <w:r>
        <w:rPr>
          <w:rFonts w:ascii="Arial" w:eastAsia="Arial" w:hAnsi="Arial" w:cs="Arial"/>
          <w:sz w:val="22"/>
          <w:szCs w:val="22"/>
        </w:rPr>
        <w:t xml:space="preserve">Score:  1 &amp; 2 = low, or tolerable risk no action may be required </w:t>
      </w:r>
    </w:p>
    <w:p w:rsidR="00403D84" w:rsidRDefault="00403D84">
      <w:pPr>
        <w:rPr>
          <w:rFonts w:ascii="Arial" w:eastAsia="Arial" w:hAnsi="Arial" w:cs="Arial"/>
          <w:sz w:val="22"/>
          <w:szCs w:val="22"/>
        </w:rPr>
      </w:pPr>
    </w:p>
    <w:p w:rsidR="00403D84" w:rsidRDefault="004973D9">
      <w:pPr>
        <w:pStyle w:val="Heading4"/>
        <w:rPr>
          <w:b w:val="0"/>
          <w:i/>
        </w:rPr>
      </w:pPr>
      <w:r>
        <w:rPr>
          <w:i/>
        </w:rPr>
        <w:t xml:space="preserve">Potential </w:t>
      </w:r>
      <w:proofErr w:type="gramStart"/>
      <w:r>
        <w:rPr>
          <w:i/>
        </w:rPr>
        <w:t>hazard</w:t>
      </w:r>
      <w:r>
        <w:rPr>
          <w:b w:val="0"/>
          <w:i/>
        </w:rPr>
        <w:t xml:space="preserve">  -</w:t>
      </w:r>
      <w:proofErr w:type="gramEnd"/>
      <w:r>
        <w:rPr>
          <w:b w:val="0"/>
          <w:i/>
        </w:rPr>
        <w:t xml:space="preserve"> item, substance or activity with the potential to cause harm.</w:t>
      </w:r>
    </w:p>
    <w:p w:rsidR="00403D84" w:rsidRDefault="004973D9">
      <w:pPr>
        <w:rPr>
          <w:rFonts w:ascii="Arial" w:eastAsia="Arial" w:hAnsi="Arial" w:cs="Arial"/>
          <w:sz w:val="22"/>
          <w:szCs w:val="22"/>
        </w:rPr>
      </w:pPr>
      <w:r>
        <w:rPr>
          <w:rFonts w:ascii="Arial" w:eastAsia="Arial" w:hAnsi="Arial" w:cs="Arial"/>
          <w:sz w:val="22"/>
          <w:szCs w:val="22"/>
        </w:rPr>
        <w:t>A s</w:t>
      </w:r>
      <w:r>
        <w:rPr>
          <w:rFonts w:ascii="Arial" w:eastAsia="Arial" w:hAnsi="Arial" w:cs="Arial"/>
          <w:sz w:val="22"/>
          <w:szCs w:val="22"/>
        </w:rPr>
        <w:t>ingle hazardous activity can have many potential elements of harm, and it is important that those completing the risk assessment identify this, e.g. working with electricity (hazard) anticipated harm would be fire, explosion, electrocution and burns.</w:t>
      </w:r>
    </w:p>
    <w:p w:rsidR="00403D84" w:rsidRDefault="00403D84">
      <w:pPr>
        <w:rPr>
          <w:rFonts w:ascii="Arial" w:eastAsia="Arial" w:hAnsi="Arial" w:cs="Arial"/>
          <w:b/>
          <w:sz w:val="22"/>
          <w:szCs w:val="22"/>
        </w:rPr>
      </w:pPr>
    </w:p>
    <w:p w:rsidR="00403D84" w:rsidRDefault="004973D9">
      <w:pPr>
        <w:rPr>
          <w:sz w:val="22"/>
          <w:szCs w:val="22"/>
        </w:rPr>
      </w:pPr>
      <w:r>
        <w:rPr>
          <w:rFonts w:ascii="Arial" w:eastAsia="Arial" w:hAnsi="Arial" w:cs="Arial"/>
          <w:b/>
          <w:sz w:val="22"/>
          <w:szCs w:val="22"/>
        </w:rPr>
        <w:t>Cont</w:t>
      </w:r>
      <w:r>
        <w:rPr>
          <w:rFonts w:ascii="Arial" w:eastAsia="Arial" w:hAnsi="Arial" w:cs="Arial"/>
          <w:b/>
          <w:sz w:val="22"/>
          <w:szCs w:val="22"/>
        </w:rPr>
        <w:t xml:space="preserve">rol Measures </w:t>
      </w:r>
      <w:r>
        <w:rPr>
          <w:rFonts w:ascii="Arial" w:eastAsia="Arial" w:hAnsi="Arial" w:cs="Arial"/>
          <w:sz w:val="22"/>
          <w:szCs w:val="22"/>
        </w:rPr>
        <w:t xml:space="preserve"> – eliminate the hazard, substitute with less hazardous alternatives, prevent access to the hazard, control the amount of exposure, training, written instructions, personal protective equipment, welfare facilities, safety signs.</w:t>
      </w:r>
    </w:p>
    <w:sectPr w:rsidR="00403D84">
      <w:footerReference w:type="even" r:id="rId7"/>
      <w:footerReference w:type="default" r:id="rId8"/>
      <w:pgSz w:w="16840" w:h="11907" w:orient="landscape"/>
      <w:pgMar w:top="709" w:right="1440" w:bottom="1134" w:left="1440" w:header="17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D9" w:rsidRDefault="004973D9">
      <w:r>
        <w:separator/>
      </w:r>
    </w:p>
  </w:endnote>
  <w:endnote w:type="continuationSeparator" w:id="0">
    <w:p w:rsidR="004973D9" w:rsidRDefault="0049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84" w:rsidRDefault="004973D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403D84" w:rsidRDefault="00403D8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84" w:rsidRDefault="00403D84">
    <w:pPr>
      <w:pBdr>
        <w:top w:val="nil"/>
        <w:left w:val="nil"/>
        <w:bottom w:val="nil"/>
        <w:right w:val="nil"/>
        <w:between w:val="nil"/>
      </w:pBdr>
      <w:tabs>
        <w:tab w:val="center" w:pos="4320"/>
        <w:tab w:val="right" w:pos="8640"/>
      </w:tabs>
      <w:jc w:val="right"/>
      <w:rPr>
        <w:color w:val="000000"/>
      </w:rPr>
    </w:pPr>
  </w:p>
  <w:p w:rsidR="00403D84" w:rsidRDefault="00403D84">
    <w:pPr>
      <w:jc w:val="center"/>
      <w:rPr>
        <w:rFonts w:ascii="Arial" w:eastAsia="Arial" w:hAnsi="Arial" w:cs="Arial"/>
        <w:color w:val="A6A6A6"/>
        <w:sz w:val="16"/>
        <w:szCs w:val="16"/>
      </w:rPr>
    </w:pPr>
  </w:p>
  <w:p w:rsidR="00403D84" w:rsidRDefault="00403D84">
    <w:pPr>
      <w:jc w:val="center"/>
      <w:rPr>
        <w:rFonts w:ascii="Arial" w:eastAsia="Arial" w:hAnsi="Arial" w:cs="Arial"/>
        <w:color w:val="A6A6A6"/>
        <w:sz w:val="16"/>
        <w:szCs w:val="16"/>
      </w:rPr>
    </w:pPr>
  </w:p>
  <w:p w:rsidR="00403D84" w:rsidRDefault="004973D9">
    <w:pPr>
      <w:jc w:val="center"/>
      <w:rPr>
        <w:rFonts w:ascii="Arial" w:eastAsia="Arial" w:hAnsi="Arial" w:cs="Arial"/>
        <w:color w:val="A6A6A6"/>
        <w:sz w:val="16"/>
        <w:szCs w:val="16"/>
      </w:rPr>
    </w:pPr>
    <w:r>
      <w:rPr>
        <w:rFonts w:ascii="Arial" w:eastAsia="Arial" w:hAnsi="Arial" w:cs="Arial"/>
        <w:color w:val="808080"/>
        <w:sz w:val="16"/>
        <w:szCs w:val="16"/>
      </w:rPr>
      <w:t>Buckinghamshire Council in Partnership with BSSP</w:t>
    </w:r>
  </w:p>
  <w:p w:rsidR="00403D84" w:rsidRDefault="004973D9">
    <w:pPr>
      <w:jc w:val="center"/>
      <w:rPr>
        <w:rFonts w:ascii="Arial" w:eastAsia="Arial" w:hAnsi="Arial" w:cs="Arial"/>
        <w:color w:val="A6A6A6"/>
        <w:sz w:val="16"/>
        <w:szCs w:val="16"/>
      </w:rPr>
    </w:pPr>
    <w:r>
      <w:rPr>
        <w:rFonts w:ascii="Arial" w:eastAsia="Arial" w:hAnsi="Arial" w:cs="Arial"/>
        <w:color w:val="A6A6A6"/>
        <w:sz w:val="16"/>
        <w:szCs w:val="16"/>
      </w:rPr>
      <w:t>Safe Practice in School Swimming Policy &amp; Guidance April 2021</w:t>
    </w:r>
  </w:p>
  <w:p w:rsidR="00403D84" w:rsidRDefault="004973D9">
    <w:pPr>
      <w:jc w:val="center"/>
      <w:rPr>
        <w:rFonts w:ascii="Arial" w:eastAsia="Arial" w:hAnsi="Arial" w:cs="Arial"/>
        <w:color w:val="A6A6A6"/>
        <w:sz w:val="16"/>
        <w:szCs w:val="16"/>
      </w:rPr>
    </w:pPr>
    <w:r>
      <w:rPr>
        <w:rFonts w:ascii="Arial" w:eastAsia="Arial" w:hAnsi="Arial" w:cs="Arial"/>
        <w:color w:val="A6A6A6"/>
        <w:sz w:val="16"/>
        <w:szCs w:val="16"/>
      </w:rPr>
      <w:t>Appendix W:  Generic Cryptosporidium Risk Assessment</w:t>
    </w:r>
  </w:p>
  <w:p w:rsidR="00403D84" w:rsidRDefault="00403D84">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D9" w:rsidRDefault="004973D9">
      <w:r>
        <w:separator/>
      </w:r>
    </w:p>
  </w:footnote>
  <w:footnote w:type="continuationSeparator" w:id="0">
    <w:p w:rsidR="004973D9" w:rsidRDefault="00497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84"/>
    <w:rsid w:val="001B6573"/>
    <w:rsid w:val="00403D84"/>
    <w:rsid w:val="0049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7C7B"/>
  <w15:docId w15:val="{49724C08-5B64-4293-94CE-AE4F7533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4F"/>
    <w:rPr>
      <w:lang w:eastAsia="en-US"/>
    </w:rPr>
  </w:style>
  <w:style w:type="paragraph" w:styleId="Heading1">
    <w:name w:val="heading 1"/>
    <w:basedOn w:val="Normal"/>
    <w:next w:val="Normal"/>
    <w:qFormat/>
    <w:rsid w:val="007C503C"/>
    <w:pPr>
      <w:keepNext/>
      <w:widowControl w:val="0"/>
      <w:jc w:val="both"/>
      <w:outlineLvl w:val="0"/>
    </w:pPr>
    <w:rPr>
      <w:b/>
      <w:snapToGrid w:val="0"/>
      <w:sz w:val="22"/>
    </w:rPr>
  </w:style>
  <w:style w:type="paragraph" w:styleId="Heading2">
    <w:name w:val="heading 2"/>
    <w:basedOn w:val="Normal"/>
    <w:next w:val="Normal"/>
    <w:link w:val="Heading2Char"/>
    <w:qFormat/>
    <w:rsid w:val="007C503C"/>
    <w:pPr>
      <w:keepNext/>
      <w:widowControl w:val="0"/>
      <w:tabs>
        <w:tab w:val="right" w:pos="9026"/>
      </w:tabs>
      <w:jc w:val="both"/>
      <w:outlineLvl w:val="1"/>
    </w:pPr>
    <w:rPr>
      <w:rFonts w:ascii="Arial" w:hAnsi="Arial"/>
      <w:b/>
      <w:snapToGrid w:val="0"/>
      <w:lang w:val="x-none"/>
    </w:rPr>
  </w:style>
  <w:style w:type="paragraph" w:styleId="Heading3">
    <w:name w:val="heading 3"/>
    <w:basedOn w:val="Normal"/>
    <w:next w:val="Normal"/>
    <w:qFormat/>
    <w:rsid w:val="007C503C"/>
    <w:pPr>
      <w:keepNext/>
      <w:widowControl w:val="0"/>
      <w:outlineLvl w:val="2"/>
    </w:pPr>
    <w:rPr>
      <w:rFonts w:ascii="Arial" w:hAnsi="Arial"/>
      <w:b/>
      <w:snapToGrid w:val="0"/>
      <w:sz w:val="24"/>
      <w:lang w:val="en-US"/>
    </w:rPr>
  </w:style>
  <w:style w:type="paragraph" w:styleId="Heading4">
    <w:name w:val="heading 4"/>
    <w:basedOn w:val="Normal"/>
    <w:next w:val="Normal"/>
    <w:qFormat/>
    <w:rsid w:val="007C503C"/>
    <w:pPr>
      <w:keepNext/>
      <w:widowControl w:val="0"/>
      <w:outlineLvl w:val="3"/>
    </w:pPr>
    <w:rPr>
      <w:rFonts w:ascii="Arial" w:hAnsi="Arial"/>
      <w:b/>
      <w:snapToGrid w:val="0"/>
      <w:sz w:val="22"/>
      <w:lang w:val="en-US"/>
    </w:rPr>
  </w:style>
  <w:style w:type="paragraph" w:styleId="Heading5">
    <w:name w:val="heading 5"/>
    <w:basedOn w:val="Normal"/>
    <w:next w:val="Normal"/>
    <w:qFormat/>
    <w:rsid w:val="007C503C"/>
    <w:pPr>
      <w:keepNext/>
      <w:widowControl w:val="0"/>
      <w:tabs>
        <w:tab w:val="center" w:pos="4513"/>
        <w:tab w:val="right" w:pos="9026"/>
      </w:tabs>
      <w:jc w:val="center"/>
      <w:outlineLvl w:val="4"/>
    </w:pPr>
    <w:rPr>
      <w:rFonts w:ascii="Arial" w:hAnsi="Arial"/>
      <w:b/>
      <w:snapToGrid w:val="0"/>
      <w:sz w:val="24"/>
    </w:rPr>
  </w:style>
  <w:style w:type="paragraph" w:styleId="Heading6">
    <w:name w:val="heading 6"/>
    <w:basedOn w:val="Normal"/>
    <w:next w:val="Normal"/>
    <w:qFormat/>
    <w:rsid w:val="007C503C"/>
    <w:pPr>
      <w:keepNext/>
      <w:widowControl w:val="0"/>
      <w:jc w:val="right"/>
      <w:outlineLvl w:val="5"/>
    </w:pPr>
    <w:rPr>
      <w:rFonts w:ascii="Arial" w:hAnsi="Arial"/>
      <w:b/>
      <w:snapToGrid w:val="0"/>
      <w:lang w:val="en-US"/>
    </w:rPr>
  </w:style>
  <w:style w:type="paragraph" w:styleId="Heading7">
    <w:name w:val="heading 7"/>
    <w:basedOn w:val="Normal"/>
    <w:next w:val="Normal"/>
    <w:qFormat/>
    <w:rsid w:val="007C503C"/>
    <w:pPr>
      <w:keepNext/>
      <w:jc w:val="center"/>
      <w:outlineLvl w:val="6"/>
    </w:pPr>
    <w:rPr>
      <w:rFonts w:ascii="Arial" w:hAnsi="Arial"/>
      <w:b/>
      <w:sz w:val="22"/>
    </w:rPr>
  </w:style>
  <w:style w:type="paragraph" w:styleId="Heading8">
    <w:name w:val="heading 8"/>
    <w:basedOn w:val="Normal"/>
    <w:next w:val="Normal"/>
    <w:qFormat/>
    <w:rsid w:val="007C503C"/>
    <w:pPr>
      <w:keepNext/>
      <w:outlineLvl w:val="7"/>
    </w:pPr>
    <w:rPr>
      <w:rFonts w:ascii="Arial" w:hAnsi="Arial" w:cs="Arial"/>
      <w:b/>
      <w:bCs/>
      <w:sz w:val="22"/>
      <w:u w:val="single"/>
    </w:rPr>
  </w:style>
  <w:style w:type="paragraph" w:styleId="Heading9">
    <w:name w:val="heading 9"/>
    <w:basedOn w:val="Normal"/>
    <w:next w:val="Normal"/>
    <w:qFormat/>
    <w:rsid w:val="007C503C"/>
    <w:pPr>
      <w:keepNext/>
      <w:ind w:left="12240"/>
      <w:outlineLvl w:val="8"/>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semiHidden/>
    <w:rsid w:val="007C503C"/>
    <w:pPr>
      <w:widowControl w:val="0"/>
      <w:tabs>
        <w:tab w:val="center" w:pos="4320"/>
        <w:tab w:val="right" w:pos="8640"/>
      </w:tabs>
    </w:pPr>
    <w:rPr>
      <w:rFonts w:ascii="Baskerville Old Face" w:hAnsi="Baskerville Old Face"/>
      <w:snapToGrid w:val="0"/>
      <w:sz w:val="24"/>
      <w:lang w:val="en-US"/>
    </w:rPr>
  </w:style>
  <w:style w:type="character" w:styleId="PageNumber">
    <w:name w:val="page number"/>
    <w:basedOn w:val="DefaultParagraphFont"/>
    <w:semiHidden/>
    <w:rsid w:val="007C503C"/>
  </w:style>
  <w:style w:type="paragraph" w:styleId="BodyText">
    <w:name w:val="Body Text"/>
    <w:basedOn w:val="Normal"/>
    <w:semiHidden/>
    <w:rsid w:val="007C503C"/>
    <w:pPr>
      <w:widowControl w:val="0"/>
    </w:pPr>
    <w:rPr>
      <w:rFonts w:ascii="Arial" w:hAnsi="Arial"/>
      <w:snapToGrid w:val="0"/>
      <w:sz w:val="22"/>
      <w:lang w:val="en-US"/>
    </w:rPr>
  </w:style>
  <w:style w:type="paragraph" w:styleId="Footer">
    <w:name w:val="footer"/>
    <w:basedOn w:val="Normal"/>
    <w:link w:val="FooterChar"/>
    <w:semiHidden/>
    <w:rsid w:val="007C503C"/>
    <w:pPr>
      <w:tabs>
        <w:tab w:val="center" w:pos="4320"/>
        <w:tab w:val="right" w:pos="8640"/>
      </w:tabs>
    </w:pPr>
    <w:rPr>
      <w:lang w:val="x-none"/>
    </w:rPr>
  </w:style>
  <w:style w:type="paragraph" w:styleId="BodyText2">
    <w:name w:val="Body Text 2"/>
    <w:basedOn w:val="Normal"/>
    <w:semiHidden/>
    <w:rsid w:val="007C503C"/>
    <w:pPr>
      <w:jc w:val="both"/>
    </w:pPr>
    <w:rPr>
      <w:rFonts w:ascii="Arial" w:hAnsi="Arial"/>
      <w:color w:val="0000FF"/>
      <w:sz w:val="22"/>
    </w:rPr>
  </w:style>
  <w:style w:type="paragraph" w:styleId="BodyText3">
    <w:name w:val="Body Text 3"/>
    <w:basedOn w:val="Normal"/>
    <w:semiHidden/>
    <w:rsid w:val="007C503C"/>
    <w:pPr>
      <w:jc w:val="both"/>
    </w:pPr>
    <w:rPr>
      <w:rFonts w:ascii="Arial" w:hAnsi="Arial"/>
      <w:sz w:val="22"/>
    </w:rPr>
  </w:style>
  <w:style w:type="paragraph" w:styleId="BodyTextIndent">
    <w:name w:val="Body Text Indent"/>
    <w:basedOn w:val="Normal"/>
    <w:semiHidden/>
    <w:rsid w:val="007C503C"/>
    <w:pPr>
      <w:ind w:left="426"/>
      <w:jc w:val="both"/>
    </w:pPr>
    <w:rPr>
      <w:rFonts w:ascii="Arial" w:hAnsi="Arial"/>
      <w:sz w:val="22"/>
    </w:rPr>
  </w:style>
  <w:style w:type="character" w:styleId="Hyperlink">
    <w:name w:val="Hyperlink"/>
    <w:basedOn w:val="DefaultParagraphFont"/>
    <w:uiPriority w:val="99"/>
    <w:rsid w:val="007C503C"/>
    <w:rPr>
      <w:color w:val="0000FF"/>
      <w:u w:val="single"/>
    </w:rPr>
  </w:style>
  <w:style w:type="paragraph" w:styleId="Caption">
    <w:name w:val="caption"/>
    <w:basedOn w:val="Normal"/>
    <w:next w:val="Normal"/>
    <w:qFormat/>
    <w:rsid w:val="007C503C"/>
    <w:rPr>
      <w:rFonts w:ascii="Arial" w:hAnsi="Arial" w:cs="Arial"/>
      <w:b/>
      <w:bCs/>
      <w:szCs w:val="24"/>
    </w:rPr>
  </w:style>
  <w:style w:type="paragraph" w:styleId="BalloonText">
    <w:name w:val="Balloon Text"/>
    <w:basedOn w:val="Normal"/>
    <w:semiHidden/>
    <w:rsid w:val="007C503C"/>
    <w:rPr>
      <w:rFonts w:ascii="Tahoma" w:hAnsi="Tahoma" w:cs="Tahoma"/>
      <w:sz w:val="16"/>
      <w:szCs w:val="16"/>
    </w:rPr>
  </w:style>
  <w:style w:type="paragraph" w:styleId="NormalWeb">
    <w:name w:val="Normal (Web)"/>
    <w:basedOn w:val="Normal"/>
    <w:uiPriority w:val="99"/>
    <w:unhideWhenUsed/>
    <w:rsid w:val="005011BC"/>
    <w:pPr>
      <w:spacing w:before="100" w:beforeAutospacing="1" w:after="100" w:afterAutospacing="1"/>
    </w:pPr>
    <w:rPr>
      <w:sz w:val="24"/>
      <w:szCs w:val="24"/>
      <w:lang w:eastAsia="en-GB"/>
    </w:rPr>
  </w:style>
  <w:style w:type="character" w:styleId="Emphasis">
    <w:name w:val="Emphasis"/>
    <w:uiPriority w:val="20"/>
    <w:qFormat/>
    <w:rsid w:val="00C24F23"/>
    <w:rPr>
      <w:i/>
      <w:iCs/>
    </w:rPr>
  </w:style>
  <w:style w:type="character" w:customStyle="1" w:styleId="FooterChar">
    <w:name w:val="Footer Char"/>
    <w:link w:val="Footer"/>
    <w:semiHidden/>
    <w:rsid w:val="008A76EB"/>
    <w:rPr>
      <w:lang w:eastAsia="en-US"/>
    </w:rPr>
  </w:style>
  <w:style w:type="character" w:customStyle="1" w:styleId="Heading2Char">
    <w:name w:val="Heading 2 Char"/>
    <w:link w:val="Heading2"/>
    <w:rsid w:val="00FB1A3A"/>
    <w:rPr>
      <w:rFonts w:ascii="Arial" w:hAnsi="Arial"/>
      <w:b/>
      <w:snapToGrid w:val="0"/>
      <w:lang w:eastAsia="en-US"/>
    </w:rPr>
  </w:style>
  <w:style w:type="table" w:styleId="TableGrid">
    <w:name w:val="Table Grid"/>
    <w:basedOn w:val="TableNormal"/>
    <w:uiPriority w:val="59"/>
    <w:rsid w:val="00C57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o5HJ0clj329acMKrFdfamCyVzg==">AMUW2mVtvHqQp1xS2GH0XGQnhIbxyrFJYG5Z1zERdRDa7rROTAFhwhP7XhrV1ZizePMAf9cZgemWb3Hr91ZtBNCj+AfeQptrv3cUZH0Vmb+4t9+HVzCEfLfKmwbQx2L1PYuTkwa9p28S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Beveridge</dc:creator>
  <cp:lastModifiedBy>Sharon Evans</cp:lastModifiedBy>
  <cp:revision>2</cp:revision>
  <dcterms:created xsi:type="dcterms:W3CDTF">2021-11-22T09:15:00Z</dcterms:created>
  <dcterms:modified xsi:type="dcterms:W3CDTF">2021-11-22T09:15:00Z</dcterms:modified>
</cp:coreProperties>
</file>